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firstLine="0" w:firstLineChars="0"/>
        <w:rPr>
          <w:rFonts w:hint="eastAsia" w:ascii="黑体" w:hAnsi="黑体" w:eastAsia="黑体"/>
          <w:sz w:val="32"/>
          <w:szCs w:val="32"/>
        </w:rPr>
      </w:pPr>
      <w:r>
        <w:rPr>
          <w:rFonts w:hint="eastAsia" w:ascii="黑体" w:hAnsi="黑体" w:eastAsia="黑体"/>
          <w:sz w:val="32"/>
          <w:szCs w:val="32"/>
        </w:rPr>
        <w:t>附件2</w:t>
      </w:r>
    </w:p>
    <w:p>
      <w:pPr>
        <w:pStyle w:val="2"/>
        <w:spacing w:line="560" w:lineRule="exact"/>
        <w:ind w:firstLine="880"/>
        <w:jc w:val="center"/>
        <w:rPr>
          <w:rFonts w:hint="eastAsia"/>
        </w:rPr>
      </w:pPr>
      <w:bookmarkStart w:id="3" w:name="_GoBack"/>
      <w:r>
        <w:rPr>
          <w:rFonts w:hint="eastAsia" w:ascii="方正小标宋简体" w:hAnsi="宋体" w:eastAsia="方正小标宋简体" w:cs="宋体"/>
          <w:sz w:val="44"/>
          <w:szCs w:val="44"/>
        </w:rPr>
        <w:t>企业采购平台系统招标</w:t>
      </w:r>
      <w:r>
        <w:rPr>
          <w:rFonts w:hint="eastAsia" w:ascii="方正小标宋简体" w:eastAsia="方正小标宋简体"/>
          <w:spacing w:val="-10"/>
          <w:sz w:val="44"/>
          <w:szCs w:val="44"/>
        </w:rPr>
        <w:t>评分标准</w:t>
      </w:r>
    </w:p>
    <w:bookmarkEnd w:id="3"/>
    <w:p>
      <w:pPr>
        <w:spacing w:line="560" w:lineRule="exact"/>
        <w:jc w:val="center"/>
        <w:outlineLvl w:val="1"/>
        <w:rPr>
          <w:rFonts w:hint="eastAsia" w:ascii="黑体" w:hAnsi="黑体" w:eastAsia="黑体"/>
          <w:sz w:val="30"/>
          <w:szCs w:val="30"/>
        </w:rPr>
      </w:pPr>
    </w:p>
    <w:p>
      <w:pPr>
        <w:numPr>
          <w:ilvl w:val="0"/>
          <w:numId w:val="1"/>
        </w:numPr>
        <w:spacing w:line="560" w:lineRule="exact"/>
        <w:outlineLvl w:val="1"/>
        <w:rPr>
          <w:rFonts w:hint="eastAsia" w:ascii="黑体" w:hAnsi="黑体" w:eastAsia="黑体"/>
          <w:sz w:val="30"/>
          <w:szCs w:val="30"/>
          <w:lang w:val="zh-CN"/>
        </w:rPr>
      </w:pPr>
      <w:r>
        <w:rPr>
          <w:rFonts w:hint="eastAsia" w:ascii="黑体" w:hAnsi="黑体" w:eastAsia="黑体"/>
          <w:sz w:val="30"/>
          <w:szCs w:val="30"/>
          <w:lang w:val="zh-CN"/>
        </w:rPr>
        <w:t>前附表</w:t>
      </w:r>
    </w:p>
    <w:tbl>
      <w:tblPr>
        <w:tblStyle w:val="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025"/>
        <w:gridCol w:w="6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pStyle w:val="5"/>
              <w:snapToGrid w:val="0"/>
              <w:spacing w:before="0" w:beforeAutospacing="0" w:after="0" w:afterAutospacing="0" w:line="420" w:lineRule="exact"/>
              <w:jc w:val="center"/>
              <w:rPr>
                <w:rFonts w:ascii="黑体" w:hAnsi="黑体" w:eastAsia="黑体" w:cs="宋体"/>
                <w:bCs/>
                <w:color w:val="000000"/>
                <w:sz w:val="24"/>
                <w:szCs w:val="24"/>
              </w:rPr>
            </w:pPr>
            <w:r>
              <w:rPr>
                <w:rFonts w:hint="eastAsia" w:ascii="黑体" w:hAnsi="黑体" w:eastAsia="黑体" w:cs="宋体"/>
                <w:bCs/>
                <w:color w:val="000000"/>
                <w:sz w:val="24"/>
                <w:szCs w:val="24"/>
              </w:rPr>
              <w:t>序号</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pStyle w:val="5"/>
              <w:snapToGrid w:val="0"/>
              <w:spacing w:before="0" w:beforeAutospacing="0" w:after="0" w:afterAutospacing="0" w:line="420" w:lineRule="exact"/>
              <w:jc w:val="center"/>
              <w:rPr>
                <w:rFonts w:ascii="黑体" w:hAnsi="黑体" w:eastAsia="黑体" w:cs="宋体"/>
                <w:bCs/>
                <w:color w:val="000000"/>
                <w:sz w:val="24"/>
                <w:szCs w:val="24"/>
              </w:rPr>
            </w:pPr>
            <w:r>
              <w:rPr>
                <w:rFonts w:hint="eastAsia" w:ascii="黑体" w:hAnsi="黑体" w:eastAsia="黑体" w:cs="宋体"/>
                <w:bCs/>
                <w:color w:val="000000"/>
                <w:sz w:val="24"/>
                <w:szCs w:val="24"/>
              </w:rPr>
              <w:t>名称</w:t>
            </w:r>
          </w:p>
        </w:tc>
        <w:tc>
          <w:tcPr>
            <w:tcW w:w="6307" w:type="dxa"/>
            <w:tcBorders>
              <w:top w:val="single" w:color="auto" w:sz="4" w:space="0"/>
              <w:left w:val="single" w:color="auto" w:sz="4" w:space="0"/>
              <w:bottom w:val="single" w:color="auto" w:sz="4" w:space="0"/>
              <w:right w:val="single" w:color="auto" w:sz="4" w:space="0"/>
            </w:tcBorders>
            <w:noWrap w:val="0"/>
            <w:vAlign w:val="center"/>
          </w:tcPr>
          <w:p>
            <w:pPr>
              <w:pStyle w:val="5"/>
              <w:snapToGrid w:val="0"/>
              <w:spacing w:before="0" w:beforeAutospacing="0" w:after="0" w:afterAutospacing="0" w:line="420" w:lineRule="exact"/>
              <w:jc w:val="center"/>
              <w:rPr>
                <w:rFonts w:ascii="黑体" w:hAnsi="黑体" w:eastAsia="黑体" w:cs="宋体"/>
                <w:bCs/>
                <w:color w:val="000000"/>
                <w:sz w:val="24"/>
                <w:szCs w:val="24"/>
              </w:rPr>
            </w:pPr>
            <w:r>
              <w:rPr>
                <w:rFonts w:hint="eastAsia" w:ascii="黑体" w:hAnsi="黑体" w:eastAsia="黑体" w:cs="宋体"/>
                <w:bCs/>
                <w:color w:val="000000"/>
                <w:sz w:val="24"/>
                <w:szCs w:val="24"/>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pStyle w:val="5"/>
              <w:snapToGrid w:val="0"/>
              <w:spacing w:before="0" w:beforeAutospacing="0" w:after="0" w:afterAutospacing="0" w:line="420" w:lineRule="exact"/>
              <w:jc w:val="center"/>
              <w:rPr>
                <w:rFonts w:hint="eastAsia" w:cs="宋体"/>
                <w:bCs/>
                <w:color w:val="000000"/>
                <w:sz w:val="24"/>
                <w:szCs w:val="24"/>
              </w:rPr>
            </w:pPr>
            <w:r>
              <w:rPr>
                <w:rFonts w:hint="eastAsia" w:cs="宋体"/>
                <w:bCs/>
                <w:color w:val="000000"/>
                <w:sz w:val="24"/>
                <w:szCs w:val="24"/>
              </w:rPr>
              <w:t>1</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pStyle w:val="5"/>
              <w:snapToGrid w:val="0"/>
              <w:spacing w:before="0" w:beforeAutospacing="0" w:after="0" w:afterAutospacing="0" w:line="420" w:lineRule="exact"/>
              <w:jc w:val="center"/>
              <w:rPr>
                <w:rFonts w:cs="宋体"/>
                <w:bCs/>
                <w:color w:val="000000"/>
                <w:sz w:val="24"/>
                <w:szCs w:val="24"/>
              </w:rPr>
            </w:pPr>
            <w:r>
              <w:rPr>
                <w:rFonts w:hint="eastAsia" w:cs="宋体"/>
                <w:bCs/>
                <w:color w:val="000000"/>
                <w:sz w:val="24"/>
                <w:szCs w:val="24"/>
              </w:rPr>
              <w:t>项目名称</w:t>
            </w:r>
          </w:p>
        </w:tc>
        <w:tc>
          <w:tcPr>
            <w:tcW w:w="6307" w:type="dxa"/>
            <w:tcBorders>
              <w:top w:val="single" w:color="auto" w:sz="4" w:space="0"/>
              <w:left w:val="single" w:color="auto" w:sz="4" w:space="0"/>
              <w:bottom w:val="single" w:color="auto" w:sz="4" w:space="0"/>
              <w:right w:val="single" w:color="auto" w:sz="4" w:space="0"/>
            </w:tcBorders>
            <w:noWrap w:val="0"/>
            <w:vAlign w:val="center"/>
          </w:tcPr>
          <w:p>
            <w:pPr>
              <w:pStyle w:val="5"/>
              <w:snapToGrid w:val="0"/>
              <w:spacing w:before="0" w:beforeAutospacing="0" w:after="0" w:afterAutospacing="0" w:line="420" w:lineRule="exact"/>
              <w:rPr>
                <w:rFonts w:hint="eastAsia" w:cs="宋体"/>
                <w:bCs/>
                <w:color w:val="000000"/>
                <w:sz w:val="24"/>
                <w:szCs w:val="24"/>
              </w:rPr>
            </w:pPr>
            <w:r>
              <w:rPr>
                <w:rFonts w:cs="宋体"/>
                <w:bCs/>
                <w:color w:val="000000"/>
                <w:sz w:val="24"/>
                <w:szCs w:val="24"/>
              </w:rPr>
              <w:t>浙江产权交易所有限公司</w:t>
            </w:r>
            <w:r>
              <w:rPr>
                <w:rFonts w:hint="eastAsia" w:cs="宋体"/>
                <w:bCs/>
                <w:color w:val="000000"/>
                <w:sz w:val="24"/>
                <w:szCs w:val="24"/>
              </w:rPr>
              <w:t>企业采购平台系统项目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pStyle w:val="5"/>
              <w:spacing w:before="0" w:beforeAutospacing="0" w:after="0" w:afterAutospacing="0" w:line="420" w:lineRule="exact"/>
              <w:jc w:val="center"/>
              <w:rPr>
                <w:rFonts w:cs="宋体"/>
                <w:bCs/>
                <w:color w:val="000000"/>
                <w:sz w:val="24"/>
                <w:szCs w:val="24"/>
              </w:rPr>
            </w:pPr>
            <w:r>
              <w:rPr>
                <w:rFonts w:hint="eastAsia" w:cs="宋体"/>
                <w:bCs/>
                <w:color w:val="000000"/>
                <w:sz w:val="24"/>
                <w:szCs w:val="24"/>
              </w:rPr>
              <w:t>2</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pStyle w:val="5"/>
              <w:snapToGrid w:val="0"/>
              <w:spacing w:before="0" w:beforeAutospacing="0" w:after="0" w:afterAutospacing="0" w:line="420" w:lineRule="exact"/>
              <w:jc w:val="center"/>
              <w:rPr>
                <w:rFonts w:hint="eastAsia" w:cs="宋体"/>
                <w:bCs/>
                <w:color w:val="000000"/>
                <w:sz w:val="24"/>
                <w:szCs w:val="24"/>
              </w:rPr>
            </w:pPr>
            <w:r>
              <w:rPr>
                <w:rFonts w:hint="eastAsia" w:cs="宋体"/>
                <w:bCs/>
                <w:color w:val="000000"/>
                <w:sz w:val="24"/>
                <w:szCs w:val="24"/>
              </w:rPr>
              <w:t>采购数量及单位</w:t>
            </w:r>
          </w:p>
        </w:tc>
        <w:tc>
          <w:tcPr>
            <w:tcW w:w="6307" w:type="dxa"/>
            <w:tcBorders>
              <w:top w:val="single" w:color="auto" w:sz="4" w:space="0"/>
              <w:left w:val="single" w:color="auto" w:sz="4" w:space="0"/>
              <w:bottom w:val="single" w:color="auto" w:sz="4" w:space="0"/>
              <w:right w:val="single" w:color="auto" w:sz="4" w:space="0"/>
            </w:tcBorders>
            <w:noWrap w:val="0"/>
            <w:vAlign w:val="center"/>
          </w:tcPr>
          <w:p>
            <w:pPr>
              <w:pStyle w:val="5"/>
              <w:snapToGrid w:val="0"/>
              <w:spacing w:before="0" w:beforeAutospacing="0" w:after="0" w:afterAutospacing="0" w:line="420" w:lineRule="exact"/>
              <w:rPr>
                <w:rFonts w:cs="宋体"/>
                <w:bCs/>
                <w:color w:val="000000"/>
                <w:sz w:val="24"/>
                <w:szCs w:val="24"/>
              </w:rPr>
            </w:pPr>
            <w:r>
              <w:rPr>
                <w:rFonts w:hint="eastAsia" w:cs="宋体"/>
                <w:bCs/>
                <w:color w:val="000000"/>
                <w:sz w:val="24"/>
                <w:szCs w:val="24"/>
              </w:rPr>
              <w:t>详见招标需求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pStyle w:val="5"/>
              <w:spacing w:before="0" w:beforeAutospacing="0" w:after="0" w:afterAutospacing="0" w:line="420" w:lineRule="exact"/>
              <w:jc w:val="center"/>
              <w:rPr>
                <w:rFonts w:cs="宋体"/>
                <w:bCs/>
                <w:color w:val="000000"/>
                <w:sz w:val="24"/>
                <w:szCs w:val="24"/>
              </w:rPr>
            </w:pPr>
            <w:r>
              <w:rPr>
                <w:rFonts w:hint="eastAsia" w:cs="宋体"/>
                <w:bCs/>
                <w:color w:val="000000"/>
                <w:sz w:val="24"/>
                <w:szCs w:val="24"/>
              </w:rPr>
              <w:t>3</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pStyle w:val="5"/>
              <w:snapToGrid w:val="0"/>
              <w:spacing w:before="0" w:beforeAutospacing="0" w:after="0" w:afterAutospacing="0" w:line="420" w:lineRule="exact"/>
              <w:jc w:val="center"/>
              <w:rPr>
                <w:rFonts w:cs="宋体"/>
                <w:bCs/>
                <w:color w:val="000000"/>
                <w:sz w:val="24"/>
                <w:szCs w:val="24"/>
              </w:rPr>
            </w:pPr>
            <w:r>
              <w:rPr>
                <w:rFonts w:hint="eastAsia" w:cs="宋体"/>
                <w:bCs/>
                <w:color w:val="000000"/>
                <w:sz w:val="24"/>
                <w:szCs w:val="24"/>
              </w:rPr>
              <w:t>投标报价及费用</w:t>
            </w:r>
          </w:p>
        </w:tc>
        <w:tc>
          <w:tcPr>
            <w:tcW w:w="6307" w:type="dxa"/>
            <w:tcBorders>
              <w:top w:val="single" w:color="auto" w:sz="4" w:space="0"/>
              <w:left w:val="single" w:color="auto" w:sz="4" w:space="0"/>
              <w:bottom w:val="single" w:color="auto" w:sz="4" w:space="0"/>
              <w:right w:val="single" w:color="auto" w:sz="4" w:space="0"/>
            </w:tcBorders>
            <w:noWrap w:val="0"/>
            <w:vAlign w:val="center"/>
          </w:tcPr>
          <w:p>
            <w:pPr>
              <w:pStyle w:val="5"/>
              <w:spacing w:before="0" w:beforeAutospacing="0" w:after="0" w:afterAutospacing="0" w:line="420" w:lineRule="exact"/>
              <w:rPr>
                <w:rFonts w:cs="宋体"/>
                <w:bCs/>
                <w:color w:val="000000"/>
                <w:sz w:val="24"/>
                <w:szCs w:val="24"/>
              </w:rPr>
            </w:pPr>
            <w:r>
              <w:rPr>
                <w:rFonts w:cs="宋体"/>
                <w:bCs/>
                <w:color w:val="000000"/>
                <w:sz w:val="24"/>
                <w:szCs w:val="24"/>
              </w:rPr>
              <w:t>1</w:t>
            </w:r>
            <w:r>
              <w:rPr>
                <w:rFonts w:hint="eastAsia" w:cs="宋体"/>
                <w:bCs/>
                <w:color w:val="000000"/>
                <w:sz w:val="24"/>
                <w:szCs w:val="24"/>
              </w:rPr>
              <w:t>.本项目投标以人民币报价；</w:t>
            </w:r>
          </w:p>
          <w:p>
            <w:pPr>
              <w:pStyle w:val="5"/>
              <w:spacing w:before="0" w:beforeAutospacing="0" w:after="0" w:afterAutospacing="0" w:line="420" w:lineRule="exact"/>
              <w:rPr>
                <w:rFonts w:hint="eastAsia" w:cs="宋体"/>
                <w:bCs/>
                <w:color w:val="FF0000"/>
                <w:sz w:val="24"/>
                <w:szCs w:val="24"/>
                <w:shd w:val="pct10" w:color="auto" w:fill="FFFFFF"/>
              </w:rPr>
            </w:pPr>
            <w:r>
              <w:rPr>
                <w:rFonts w:cs="宋体"/>
                <w:bCs/>
                <w:color w:val="FF0000"/>
                <w:sz w:val="24"/>
                <w:szCs w:val="24"/>
                <w:shd w:val="pct10" w:color="auto" w:fill="FFFFFF"/>
              </w:rPr>
              <w:t>2</w:t>
            </w:r>
            <w:r>
              <w:rPr>
                <w:rFonts w:hint="eastAsia" w:cs="宋体"/>
                <w:bCs/>
                <w:color w:val="FF0000"/>
                <w:sz w:val="24"/>
                <w:szCs w:val="24"/>
                <w:shd w:val="pct10" w:color="auto" w:fill="FFFFFF"/>
              </w:rPr>
              <w:t>.本项目系统建设采用合作分成模式，系统由投标人免费建设。系统上线运营后投标人向招标人（浙江产权交易所有限公司）</w:t>
            </w:r>
            <w:r>
              <w:rPr>
                <w:rFonts w:cs="宋体"/>
                <w:bCs/>
                <w:color w:val="FF0000"/>
                <w:sz w:val="24"/>
                <w:szCs w:val="24"/>
                <w:shd w:val="pct10" w:color="auto" w:fill="FFFFFF"/>
              </w:rPr>
              <w:t>收取</w:t>
            </w:r>
            <w:r>
              <w:rPr>
                <w:rFonts w:hint="eastAsia" w:cs="宋体"/>
                <w:bCs/>
                <w:color w:val="FF0000"/>
                <w:sz w:val="24"/>
                <w:szCs w:val="24"/>
                <w:shd w:val="pct10" w:color="auto" w:fill="FFFFFF"/>
              </w:rPr>
              <w:t>企业采购项目（以公开招标方式采购的项目为单位）</w:t>
            </w:r>
            <w:r>
              <w:rPr>
                <w:rFonts w:cs="宋体"/>
                <w:bCs/>
                <w:color w:val="FF0000"/>
                <w:sz w:val="24"/>
                <w:szCs w:val="24"/>
                <w:shd w:val="pct10" w:color="auto" w:fill="FFFFFF"/>
              </w:rPr>
              <w:t>每家客户的平台技术服务费</w:t>
            </w:r>
            <w:r>
              <w:rPr>
                <w:rFonts w:hint="eastAsia" w:cs="宋体"/>
                <w:bCs/>
                <w:color w:val="FF0000"/>
                <w:sz w:val="24"/>
                <w:szCs w:val="24"/>
                <w:shd w:val="pct10" w:color="auto" w:fill="FFFFFF"/>
              </w:rPr>
              <w:t>为报价依据。</w:t>
            </w:r>
          </w:p>
          <w:p>
            <w:pPr>
              <w:pStyle w:val="5"/>
              <w:spacing w:before="0" w:beforeAutospacing="0" w:after="0" w:afterAutospacing="0" w:line="420" w:lineRule="exact"/>
              <w:rPr>
                <w:rFonts w:hint="eastAsia" w:cs="宋体"/>
                <w:bCs/>
                <w:color w:val="000000"/>
                <w:sz w:val="24"/>
                <w:szCs w:val="24"/>
              </w:rPr>
            </w:pPr>
            <w:r>
              <w:rPr>
                <w:rFonts w:cs="宋体"/>
                <w:bCs/>
                <w:color w:val="000000"/>
                <w:sz w:val="24"/>
                <w:szCs w:val="24"/>
              </w:rPr>
              <w:t>3</w:t>
            </w:r>
            <w:r>
              <w:rPr>
                <w:rFonts w:hint="eastAsia" w:cs="宋体"/>
                <w:bCs/>
                <w:color w:val="000000"/>
                <w:sz w:val="24"/>
                <w:szCs w:val="24"/>
              </w:rPr>
              <w:t>.不论投标结果如何，投标人均自行承担与投标有关的所有费用；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pStyle w:val="5"/>
              <w:snapToGrid w:val="0"/>
              <w:spacing w:before="0" w:beforeAutospacing="0" w:after="0" w:afterAutospacing="0" w:line="420" w:lineRule="exact"/>
              <w:jc w:val="center"/>
              <w:rPr>
                <w:rFonts w:cs="宋体"/>
                <w:bCs/>
                <w:color w:val="000000"/>
                <w:sz w:val="24"/>
                <w:szCs w:val="24"/>
              </w:rPr>
            </w:pPr>
            <w:r>
              <w:rPr>
                <w:rFonts w:cs="宋体"/>
                <w:bCs/>
                <w:color w:val="000000"/>
                <w:sz w:val="24"/>
                <w:szCs w:val="24"/>
              </w:rPr>
              <w:t>4</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pStyle w:val="5"/>
              <w:snapToGrid w:val="0"/>
              <w:spacing w:before="0" w:beforeAutospacing="0" w:after="0" w:afterAutospacing="0" w:line="420" w:lineRule="exact"/>
              <w:jc w:val="center"/>
              <w:rPr>
                <w:rFonts w:cs="宋体"/>
                <w:bCs/>
                <w:color w:val="000000"/>
                <w:sz w:val="24"/>
                <w:szCs w:val="24"/>
              </w:rPr>
            </w:pPr>
            <w:r>
              <w:rPr>
                <w:rFonts w:hint="eastAsia" w:cs="宋体"/>
                <w:bCs/>
                <w:color w:val="000000"/>
                <w:sz w:val="24"/>
                <w:szCs w:val="24"/>
              </w:rPr>
              <w:t>最高限价</w:t>
            </w:r>
          </w:p>
        </w:tc>
        <w:tc>
          <w:tcPr>
            <w:tcW w:w="6307" w:type="dxa"/>
            <w:tcBorders>
              <w:top w:val="single" w:color="auto" w:sz="4" w:space="0"/>
              <w:left w:val="single" w:color="auto" w:sz="4" w:space="0"/>
              <w:bottom w:val="single" w:color="auto" w:sz="4" w:space="0"/>
              <w:right w:val="single" w:color="auto" w:sz="4" w:space="0"/>
            </w:tcBorders>
            <w:noWrap w:val="0"/>
            <w:vAlign w:val="center"/>
          </w:tcPr>
          <w:p>
            <w:pPr>
              <w:pStyle w:val="5"/>
              <w:snapToGrid w:val="0"/>
              <w:spacing w:before="0" w:beforeAutospacing="0" w:after="0" w:afterAutospacing="0" w:line="420" w:lineRule="exact"/>
              <w:rPr>
                <w:rFonts w:hint="eastAsia" w:cs="宋体"/>
                <w:bCs/>
                <w:color w:val="000000"/>
                <w:sz w:val="24"/>
                <w:szCs w:val="24"/>
              </w:rPr>
            </w:pPr>
            <w:r>
              <w:rPr>
                <w:rFonts w:hint="eastAsia" w:cs="宋体"/>
                <w:bCs/>
                <w:color w:val="000000"/>
                <w:sz w:val="24"/>
                <w:szCs w:val="24"/>
              </w:rPr>
              <w:t>向招标人（浙江产权交易所有限公司）按每家投标单位（以公开招标方式采购的项目为单位）收费50元/家为最高限价。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pStyle w:val="5"/>
              <w:snapToGrid w:val="0"/>
              <w:spacing w:before="0" w:beforeAutospacing="0" w:after="0" w:afterAutospacing="0" w:line="420" w:lineRule="exact"/>
              <w:jc w:val="center"/>
              <w:rPr>
                <w:rFonts w:cs="宋体"/>
                <w:bCs/>
                <w:color w:val="000000"/>
                <w:sz w:val="24"/>
                <w:szCs w:val="24"/>
              </w:rPr>
            </w:pPr>
            <w:r>
              <w:rPr>
                <w:rFonts w:cs="宋体"/>
                <w:bCs/>
                <w:color w:val="000000"/>
                <w:sz w:val="24"/>
                <w:szCs w:val="24"/>
              </w:rPr>
              <w:t>5</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pStyle w:val="5"/>
              <w:snapToGrid w:val="0"/>
              <w:spacing w:before="0" w:beforeAutospacing="0" w:after="0" w:afterAutospacing="0" w:line="420" w:lineRule="exact"/>
              <w:jc w:val="center"/>
              <w:rPr>
                <w:rFonts w:hint="eastAsia" w:cs="宋体"/>
                <w:bCs/>
                <w:color w:val="000000"/>
                <w:sz w:val="24"/>
                <w:szCs w:val="24"/>
              </w:rPr>
            </w:pPr>
            <w:r>
              <w:rPr>
                <w:rFonts w:hint="eastAsia" w:cs="宋体"/>
                <w:bCs/>
                <w:color w:val="000000"/>
                <w:sz w:val="24"/>
                <w:szCs w:val="24"/>
              </w:rPr>
              <w:t>投标截止时间及递交地点</w:t>
            </w:r>
          </w:p>
        </w:tc>
        <w:tc>
          <w:tcPr>
            <w:tcW w:w="6307" w:type="dxa"/>
            <w:tcBorders>
              <w:top w:val="single" w:color="auto" w:sz="4" w:space="0"/>
              <w:left w:val="single" w:color="auto" w:sz="4" w:space="0"/>
              <w:bottom w:val="single" w:color="auto" w:sz="4" w:space="0"/>
              <w:right w:val="single" w:color="auto" w:sz="4" w:space="0"/>
            </w:tcBorders>
            <w:noWrap w:val="0"/>
            <w:vAlign w:val="center"/>
          </w:tcPr>
          <w:p>
            <w:pPr>
              <w:pStyle w:val="5"/>
              <w:snapToGrid w:val="0"/>
              <w:spacing w:before="0" w:beforeAutospacing="0" w:after="0" w:afterAutospacing="0" w:line="420" w:lineRule="exact"/>
              <w:rPr>
                <w:rFonts w:hint="eastAsia" w:cs="宋体"/>
                <w:bCs/>
                <w:color w:val="000000"/>
                <w:sz w:val="24"/>
                <w:szCs w:val="24"/>
              </w:rPr>
            </w:pPr>
            <w:r>
              <w:rPr>
                <w:rFonts w:cs="宋体"/>
                <w:bCs/>
                <w:color w:val="FF0000"/>
                <w:sz w:val="24"/>
                <w:szCs w:val="24"/>
                <w:shd w:val="pct10" w:color="auto" w:fill="FFFFFF"/>
              </w:rPr>
              <w:t>2024年4月29日17:00</w:t>
            </w:r>
            <w:r>
              <w:rPr>
                <w:rFonts w:hint="eastAsia" w:cs="宋体"/>
                <w:bCs/>
                <w:color w:val="FF0000"/>
                <w:sz w:val="24"/>
                <w:szCs w:val="24"/>
                <w:shd w:val="pct10" w:color="auto" w:fill="FFFFFF"/>
              </w:rPr>
              <w:t>整</w:t>
            </w:r>
            <w:r>
              <w:rPr>
                <w:rFonts w:cs="宋体"/>
                <w:bCs/>
                <w:color w:val="FF0000"/>
                <w:sz w:val="24"/>
                <w:szCs w:val="24"/>
                <w:shd w:val="pct10" w:color="auto" w:fill="FFFFFF"/>
              </w:rPr>
              <w:t>（北京时间）</w:t>
            </w:r>
            <w:r>
              <w:rPr>
                <w:rFonts w:hint="eastAsia" w:cs="宋体"/>
                <w:bCs/>
                <w:color w:val="000000"/>
                <w:sz w:val="24"/>
                <w:szCs w:val="24"/>
              </w:rPr>
              <w:t>；浙江产权交易所有限公司（杭州市上城区望江东路3</w:t>
            </w:r>
            <w:r>
              <w:rPr>
                <w:rFonts w:cs="宋体"/>
                <w:bCs/>
                <w:color w:val="000000"/>
                <w:sz w:val="24"/>
                <w:szCs w:val="24"/>
              </w:rPr>
              <w:t>32</w:t>
            </w:r>
            <w:r>
              <w:rPr>
                <w:rFonts w:hint="eastAsia" w:cs="宋体"/>
                <w:bCs/>
                <w:color w:val="000000"/>
                <w:sz w:val="24"/>
                <w:szCs w:val="24"/>
              </w:rPr>
              <w:t>号望江国际中心4号楼1</w:t>
            </w:r>
            <w:r>
              <w:rPr>
                <w:rFonts w:cs="宋体"/>
                <w:bCs/>
                <w:color w:val="000000"/>
                <w:sz w:val="24"/>
                <w:szCs w:val="24"/>
              </w:rPr>
              <w:t>903</w:t>
            </w:r>
            <w:r>
              <w:rPr>
                <w:rFonts w:hint="eastAsia" w:cs="宋体"/>
                <w:bCs/>
                <w:color w:val="000000"/>
                <w:sz w:val="24"/>
                <w:szCs w:val="24"/>
              </w:rPr>
              <w:t>室），逾期作自动放弃。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pStyle w:val="5"/>
              <w:spacing w:before="0" w:beforeAutospacing="0" w:after="0" w:afterAutospacing="0" w:line="420" w:lineRule="exact"/>
              <w:jc w:val="center"/>
              <w:rPr>
                <w:rFonts w:cs="宋体"/>
                <w:bCs/>
                <w:color w:val="000000"/>
                <w:sz w:val="24"/>
                <w:szCs w:val="24"/>
              </w:rPr>
            </w:pPr>
            <w:r>
              <w:rPr>
                <w:rFonts w:cs="宋体"/>
                <w:bCs/>
                <w:color w:val="000000"/>
                <w:sz w:val="24"/>
                <w:szCs w:val="24"/>
              </w:rPr>
              <w:t>6</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pStyle w:val="5"/>
              <w:snapToGrid w:val="0"/>
              <w:spacing w:before="0" w:beforeAutospacing="0" w:after="0" w:afterAutospacing="0" w:line="420" w:lineRule="exact"/>
              <w:jc w:val="center"/>
              <w:rPr>
                <w:rFonts w:hint="eastAsia" w:cs="宋体"/>
                <w:bCs/>
                <w:color w:val="000000"/>
                <w:sz w:val="24"/>
                <w:szCs w:val="24"/>
              </w:rPr>
            </w:pPr>
            <w:r>
              <w:rPr>
                <w:rFonts w:hint="eastAsia" w:cs="宋体"/>
                <w:bCs/>
                <w:color w:val="000000"/>
                <w:sz w:val="24"/>
                <w:szCs w:val="24"/>
              </w:rPr>
              <w:t>开标时间及地点</w:t>
            </w:r>
          </w:p>
        </w:tc>
        <w:tc>
          <w:tcPr>
            <w:tcW w:w="6307" w:type="dxa"/>
            <w:tcBorders>
              <w:top w:val="single" w:color="auto" w:sz="4" w:space="0"/>
              <w:left w:val="single" w:color="auto" w:sz="4" w:space="0"/>
              <w:bottom w:val="single" w:color="auto" w:sz="4" w:space="0"/>
              <w:right w:val="single" w:color="auto" w:sz="4" w:space="0"/>
            </w:tcBorders>
            <w:noWrap w:val="0"/>
            <w:vAlign w:val="center"/>
          </w:tcPr>
          <w:p>
            <w:pPr>
              <w:pStyle w:val="5"/>
              <w:snapToGrid w:val="0"/>
              <w:spacing w:before="0" w:beforeAutospacing="0" w:after="0" w:afterAutospacing="0" w:line="420" w:lineRule="exact"/>
              <w:rPr>
                <w:rFonts w:cs="宋体"/>
                <w:bCs/>
                <w:color w:val="000000"/>
                <w:sz w:val="24"/>
                <w:szCs w:val="24"/>
              </w:rPr>
            </w:pPr>
            <w:r>
              <w:rPr>
                <w:rFonts w:hint="eastAsia" w:cs="宋体"/>
                <w:bCs/>
                <w:color w:val="000000"/>
                <w:sz w:val="24"/>
                <w:szCs w:val="24"/>
              </w:rPr>
              <w:t>具体时间、地点另行通知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pStyle w:val="5"/>
              <w:spacing w:before="0" w:beforeAutospacing="0" w:after="0" w:afterAutospacing="0" w:line="420" w:lineRule="exact"/>
              <w:jc w:val="center"/>
              <w:rPr>
                <w:rFonts w:cs="宋体"/>
                <w:bCs/>
                <w:color w:val="000000"/>
                <w:sz w:val="24"/>
                <w:szCs w:val="24"/>
              </w:rPr>
            </w:pPr>
            <w:r>
              <w:rPr>
                <w:rFonts w:cs="宋体"/>
                <w:bCs/>
                <w:color w:val="000000"/>
                <w:sz w:val="24"/>
                <w:szCs w:val="24"/>
              </w:rPr>
              <w:t>7</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pStyle w:val="5"/>
              <w:spacing w:before="0" w:beforeAutospacing="0" w:after="0" w:afterAutospacing="0" w:line="420" w:lineRule="exact"/>
              <w:jc w:val="center"/>
              <w:rPr>
                <w:rFonts w:hint="eastAsia" w:cs="宋体"/>
                <w:bCs/>
                <w:color w:val="000000"/>
                <w:sz w:val="24"/>
                <w:szCs w:val="24"/>
              </w:rPr>
            </w:pPr>
            <w:r>
              <w:rPr>
                <w:rFonts w:hint="eastAsia" w:cs="宋体"/>
                <w:bCs/>
                <w:color w:val="000000"/>
                <w:sz w:val="24"/>
                <w:szCs w:val="24"/>
              </w:rPr>
              <w:t>中标结果公示</w:t>
            </w:r>
          </w:p>
        </w:tc>
        <w:tc>
          <w:tcPr>
            <w:tcW w:w="6307" w:type="dxa"/>
            <w:tcBorders>
              <w:top w:val="single" w:color="auto" w:sz="4" w:space="0"/>
              <w:left w:val="single" w:color="auto" w:sz="4" w:space="0"/>
              <w:bottom w:val="single" w:color="auto" w:sz="4" w:space="0"/>
              <w:right w:val="single" w:color="auto" w:sz="4" w:space="0"/>
            </w:tcBorders>
            <w:noWrap w:val="0"/>
            <w:vAlign w:val="center"/>
          </w:tcPr>
          <w:p>
            <w:pPr>
              <w:pStyle w:val="5"/>
              <w:spacing w:before="0" w:beforeAutospacing="0" w:after="0" w:afterAutospacing="0" w:line="420" w:lineRule="exact"/>
              <w:rPr>
                <w:rFonts w:hint="eastAsia" w:cs="宋体"/>
                <w:bCs/>
                <w:color w:val="000000"/>
                <w:sz w:val="24"/>
                <w:szCs w:val="24"/>
              </w:rPr>
            </w:pPr>
            <w:r>
              <w:rPr>
                <w:rFonts w:cs="宋体"/>
                <w:bCs/>
                <w:color w:val="000000"/>
                <w:sz w:val="24"/>
                <w:szCs w:val="24"/>
              </w:rPr>
              <w:t>“浙江产权交易所有限公司”官网（www.zjpse.com）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pStyle w:val="5"/>
              <w:snapToGrid w:val="0"/>
              <w:spacing w:before="0" w:beforeAutospacing="0" w:after="0" w:afterAutospacing="0" w:line="420" w:lineRule="exact"/>
              <w:jc w:val="center"/>
              <w:rPr>
                <w:rFonts w:hint="eastAsia" w:cs="宋体"/>
                <w:bCs/>
                <w:color w:val="000000"/>
                <w:sz w:val="24"/>
                <w:szCs w:val="24"/>
              </w:rPr>
            </w:pPr>
            <w:r>
              <w:rPr>
                <w:rFonts w:cs="宋体"/>
                <w:bCs/>
                <w:color w:val="000000"/>
                <w:sz w:val="24"/>
                <w:szCs w:val="24"/>
              </w:rPr>
              <w:t>8</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pStyle w:val="5"/>
              <w:spacing w:before="0" w:beforeAutospacing="0" w:after="0" w:afterAutospacing="0" w:line="420" w:lineRule="exact"/>
              <w:jc w:val="center"/>
              <w:rPr>
                <w:rFonts w:cs="宋体"/>
                <w:bCs/>
                <w:color w:val="000000"/>
                <w:sz w:val="24"/>
                <w:szCs w:val="24"/>
              </w:rPr>
            </w:pPr>
            <w:r>
              <w:rPr>
                <w:rFonts w:hint="eastAsia" w:cs="宋体"/>
                <w:bCs/>
                <w:color w:val="000000"/>
                <w:sz w:val="24"/>
                <w:szCs w:val="24"/>
              </w:rPr>
              <w:t>中标通知书</w:t>
            </w:r>
          </w:p>
        </w:tc>
        <w:tc>
          <w:tcPr>
            <w:tcW w:w="6307" w:type="dxa"/>
            <w:tcBorders>
              <w:top w:val="single" w:color="auto" w:sz="4" w:space="0"/>
              <w:left w:val="single" w:color="auto" w:sz="4" w:space="0"/>
              <w:bottom w:val="single" w:color="auto" w:sz="4" w:space="0"/>
              <w:right w:val="single" w:color="auto" w:sz="4" w:space="0"/>
            </w:tcBorders>
            <w:noWrap w:val="0"/>
            <w:vAlign w:val="center"/>
          </w:tcPr>
          <w:p>
            <w:pPr>
              <w:pStyle w:val="5"/>
              <w:spacing w:before="0" w:beforeAutospacing="0" w:after="0" w:afterAutospacing="0" w:line="420" w:lineRule="exact"/>
              <w:rPr>
                <w:rFonts w:cs="宋体"/>
                <w:bCs/>
                <w:color w:val="000000"/>
                <w:sz w:val="24"/>
                <w:szCs w:val="24"/>
              </w:rPr>
            </w:pPr>
            <w:r>
              <w:rPr>
                <w:rFonts w:hint="eastAsia" w:cs="宋体"/>
                <w:bCs/>
                <w:color w:val="000000"/>
                <w:sz w:val="24"/>
                <w:szCs w:val="24"/>
              </w:rPr>
              <w:t>在中标结果公示结束后，向中标人发出中标通知书。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pStyle w:val="5"/>
              <w:spacing w:before="0" w:beforeAutospacing="0" w:after="0" w:afterAutospacing="0" w:line="420" w:lineRule="exact"/>
              <w:jc w:val="center"/>
              <w:rPr>
                <w:rFonts w:cs="宋体"/>
                <w:bCs/>
                <w:color w:val="000000"/>
                <w:sz w:val="24"/>
                <w:szCs w:val="24"/>
              </w:rPr>
            </w:pPr>
            <w:r>
              <w:rPr>
                <w:rFonts w:cs="宋体"/>
                <w:bCs/>
                <w:color w:val="000000"/>
                <w:sz w:val="24"/>
                <w:szCs w:val="24"/>
              </w:rPr>
              <w:t>9</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pStyle w:val="5"/>
              <w:spacing w:before="0" w:beforeAutospacing="0" w:after="0" w:afterAutospacing="0" w:line="420" w:lineRule="exact"/>
              <w:jc w:val="center"/>
              <w:rPr>
                <w:rFonts w:hint="eastAsia" w:cs="宋体"/>
                <w:bCs/>
                <w:color w:val="000000"/>
                <w:sz w:val="24"/>
                <w:szCs w:val="24"/>
              </w:rPr>
            </w:pPr>
            <w:r>
              <w:rPr>
                <w:rFonts w:hint="eastAsia" w:cs="宋体"/>
                <w:bCs/>
                <w:color w:val="000000"/>
                <w:sz w:val="24"/>
                <w:szCs w:val="24"/>
              </w:rPr>
              <w:t>签订合同时间</w:t>
            </w:r>
          </w:p>
        </w:tc>
        <w:tc>
          <w:tcPr>
            <w:tcW w:w="6307" w:type="dxa"/>
            <w:tcBorders>
              <w:top w:val="single" w:color="auto" w:sz="4" w:space="0"/>
              <w:left w:val="single" w:color="auto" w:sz="4" w:space="0"/>
              <w:bottom w:val="single" w:color="auto" w:sz="4" w:space="0"/>
              <w:right w:val="single" w:color="auto" w:sz="4" w:space="0"/>
            </w:tcBorders>
            <w:noWrap w:val="0"/>
            <w:vAlign w:val="center"/>
          </w:tcPr>
          <w:p>
            <w:pPr>
              <w:pStyle w:val="5"/>
              <w:spacing w:before="0" w:beforeAutospacing="0" w:after="0" w:afterAutospacing="0" w:line="420" w:lineRule="exact"/>
              <w:rPr>
                <w:rFonts w:hint="eastAsia" w:cs="宋体"/>
                <w:bCs/>
                <w:color w:val="000000"/>
                <w:sz w:val="24"/>
                <w:szCs w:val="24"/>
              </w:rPr>
            </w:pPr>
            <w:r>
              <w:rPr>
                <w:rFonts w:hint="eastAsia" w:cs="宋体"/>
                <w:bCs/>
                <w:color w:val="000000"/>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pStyle w:val="5"/>
              <w:spacing w:before="0" w:beforeAutospacing="0" w:after="0" w:afterAutospacing="0" w:line="420" w:lineRule="exact"/>
              <w:jc w:val="center"/>
              <w:rPr>
                <w:rFonts w:cs="宋体"/>
                <w:bCs/>
                <w:color w:val="000000"/>
                <w:sz w:val="24"/>
                <w:szCs w:val="24"/>
              </w:rPr>
            </w:pPr>
            <w:r>
              <w:rPr>
                <w:rFonts w:cs="宋体"/>
                <w:bCs/>
                <w:color w:val="000000"/>
                <w:sz w:val="24"/>
                <w:szCs w:val="24"/>
              </w:rPr>
              <w:t>10</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pStyle w:val="5"/>
              <w:spacing w:before="0" w:beforeAutospacing="0" w:after="0" w:afterAutospacing="0" w:line="420" w:lineRule="exact"/>
              <w:jc w:val="center"/>
              <w:rPr>
                <w:rFonts w:hint="eastAsia" w:cs="宋体"/>
                <w:bCs/>
                <w:color w:val="000000"/>
                <w:sz w:val="24"/>
                <w:szCs w:val="24"/>
              </w:rPr>
            </w:pPr>
            <w:r>
              <w:rPr>
                <w:rFonts w:hint="eastAsia" w:cs="宋体"/>
                <w:bCs/>
                <w:color w:val="000000"/>
                <w:sz w:val="24"/>
                <w:szCs w:val="24"/>
              </w:rPr>
              <w:t>项目资金来源</w:t>
            </w:r>
          </w:p>
        </w:tc>
        <w:tc>
          <w:tcPr>
            <w:tcW w:w="6307" w:type="dxa"/>
            <w:tcBorders>
              <w:top w:val="single" w:color="auto" w:sz="4" w:space="0"/>
              <w:left w:val="single" w:color="auto" w:sz="4" w:space="0"/>
              <w:bottom w:val="single" w:color="auto" w:sz="4" w:space="0"/>
              <w:right w:val="single" w:color="auto" w:sz="4" w:space="0"/>
            </w:tcBorders>
            <w:noWrap w:val="0"/>
            <w:vAlign w:val="center"/>
          </w:tcPr>
          <w:p>
            <w:pPr>
              <w:pStyle w:val="5"/>
              <w:spacing w:before="0" w:beforeAutospacing="0" w:after="0" w:afterAutospacing="0" w:line="420" w:lineRule="exact"/>
              <w:rPr>
                <w:rFonts w:hint="eastAsia" w:cs="宋体"/>
                <w:bCs/>
                <w:color w:val="000000"/>
                <w:sz w:val="24"/>
                <w:szCs w:val="24"/>
              </w:rPr>
            </w:pPr>
            <w:r>
              <w:rPr>
                <w:rFonts w:hint="eastAsia" w:cs="宋体"/>
                <w:bCs/>
                <w:color w:val="000000"/>
                <w:sz w:val="24"/>
                <w:szCs w:val="24"/>
              </w:rPr>
              <w:t>自筹。</w:t>
            </w:r>
          </w:p>
        </w:tc>
      </w:tr>
    </w:tbl>
    <w:p>
      <w:pPr>
        <w:spacing w:line="420" w:lineRule="exact"/>
        <w:outlineLvl w:val="1"/>
        <w:rPr>
          <w:rFonts w:hint="eastAsia" w:ascii="黑体" w:hAnsi="黑体" w:eastAsia="黑体"/>
          <w:sz w:val="30"/>
          <w:szCs w:val="30"/>
          <w:lang w:val="zh-CN"/>
        </w:rPr>
      </w:pPr>
      <w:bookmarkStart w:id="0" w:name="_Toc23541"/>
      <w:bookmarkStart w:id="1" w:name="_Toc15693"/>
      <w:bookmarkStart w:id="2" w:name="_Toc10678"/>
      <w:r>
        <w:rPr>
          <w:rFonts w:hint="eastAsia" w:ascii="黑体" w:hAnsi="黑体" w:eastAsia="黑体"/>
          <w:sz w:val="30"/>
          <w:szCs w:val="30"/>
          <w:lang w:val="zh-CN"/>
        </w:rPr>
        <w:t>二、评分标准</w:t>
      </w:r>
    </w:p>
    <w:tbl>
      <w:tblPr>
        <w:tblStyle w:val="3"/>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494"/>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62" w:type="dxa"/>
            <w:noWrap w:val="0"/>
            <w:vAlign w:val="center"/>
          </w:tcPr>
          <w:p>
            <w:pPr>
              <w:jc w:val="center"/>
              <w:rPr>
                <w:b/>
                <w:sz w:val="24"/>
              </w:rPr>
            </w:pPr>
            <w:r>
              <w:rPr>
                <w:b/>
                <w:sz w:val="24"/>
              </w:rPr>
              <w:t>序号</w:t>
            </w:r>
          </w:p>
        </w:tc>
        <w:tc>
          <w:tcPr>
            <w:tcW w:w="1494" w:type="dxa"/>
            <w:noWrap w:val="0"/>
            <w:vAlign w:val="center"/>
          </w:tcPr>
          <w:p>
            <w:pPr>
              <w:jc w:val="center"/>
              <w:rPr>
                <w:b/>
                <w:sz w:val="24"/>
              </w:rPr>
            </w:pPr>
            <w:r>
              <w:rPr>
                <w:b/>
                <w:sz w:val="24"/>
              </w:rPr>
              <w:t>评审内容</w:t>
            </w:r>
          </w:p>
        </w:tc>
        <w:tc>
          <w:tcPr>
            <w:tcW w:w="7080" w:type="dxa"/>
            <w:noWrap w:val="0"/>
            <w:vAlign w:val="center"/>
          </w:tcPr>
          <w:p>
            <w:pPr>
              <w:jc w:val="center"/>
              <w:rPr>
                <w:b/>
                <w:sz w:val="24"/>
              </w:rPr>
            </w:pPr>
            <w:r>
              <w:rPr>
                <w:b/>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036" w:type="dxa"/>
            <w:gridSpan w:val="3"/>
            <w:noWrap w:val="0"/>
            <w:vAlign w:val="center"/>
          </w:tcPr>
          <w:p>
            <w:pPr>
              <w:kinsoku w:val="0"/>
              <w:overflowPunct w:val="0"/>
              <w:autoSpaceDE w:val="0"/>
              <w:autoSpaceDN w:val="0"/>
              <w:adjustRightInd w:val="0"/>
              <w:snapToGrid w:val="0"/>
              <w:jc w:val="center"/>
              <w:rPr>
                <w:rFonts w:eastAsia="仿宋"/>
                <w:szCs w:val="21"/>
              </w:rPr>
            </w:pPr>
            <w:r>
              <w:rPr>
                <w:rFonts w:hint="eastAsia"/>
                <w:b/>
                <w:sz w:val="24"/>
              </w:rPr>
              <w:t>一、</w:t>
            </w:r>
            <w:r>
              <w:rPr>
                <w:b/>
                <w:sz w:val="24"/>
              </w:rPr>
              <w:t>资信商务15分，权重为15%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462" w:type="dxa"/>
            <w:noWrap w:val="0"/>
            <w:vAlign w:val="center"/>
          </w:tcPr>
          <w:p>
            <w:pPr>
              <w:spacing w:line="276" w:lineRule="auto"/>
              <w:jc w:val="center"/>
              <w:rPr>
                <w:sz w:val="24"/>
              </w:rPr>
            </w:pPr>
            <w:r>
              <w:rPr>
                <w:sz w:val="24"/>
              </w:rPr>
              <w:t>1</w:t>
            </w:r>
          </w:p>
        </w:tc>
        <w:tc>
          <w:tcPr>
            <w:tcW w:w="1494" w:type="dxa"/>
            <w:noWrap w:val="0"/>
            <w:vAlign w:val="center"/>
          </w:tcPr>
          <w:p>
            <w:pPr>
              <w:jc w:val="center"/>
              <w:rPr>
                <w:rFonts w:eastAsia="仿宋"/>
                <w:szCs w:val="21"/>
              </w:rPr>
            </w:pPr>
            <w:r>
              <w:rPr>
                <w:rFonts w:eastAsia="仿宋"/>
                <w:szCs w:val="21"/>
              </w:rPr>
              <w:t>业绩</w:t>
            </w:r>
          </w:p>
          <w:p>
            <w:pPr>
              <w:jc w:val="center"/>
              <w:rPr>
                <w:rFonts w:eastAsia="仿宋"/>
                <w:szCs w:val="21"/>
              </w:rPr>
            </w:pPr>
            <w:r>
              <w:rPr>
                <w:rFonts w:eastAsia="仿宋"/>
                <w:szCs w:val="21"/>
              </w:rPr>
              <w:t>（3分）</w:t>
            </w:r>
          </w:p>
        </w:tc>
        <w:tc>
          <w:tcPr>
            <w:tcW w:w="7080" w:type="dxa"/>
            <w:noWrap w:val="0"/>
            <w:vAlign w:val="center"/>
          </w:tcPr>
          <w:p>
            <w:pPr>
              <w:kinsoku w:val="0"/>
              <w:overflowPunct w:val="0"/>
              <w:autoSpaceDE w:val="0"/>
              <w:autoSpaceDN w:val="0"/>
              <w:adjustRightInd w:val="0"/>
              <w:snapToGrid w:val="0"/>
              <w:jc w:val="left"/>
              <w:rPr>
                <w:rFonts w:eastAsia="仿宋"/>
                <w:szCs w:val="21"/>
              </w:rPr>
            </w:pPr>
            <w:r>
              <w:rPr>
                <w:rFonts w:eastAsia="仿宋"/>
                <w:szCs w:val="21"/>
              </w:rPr>
              <w:t>投标单位自2017年1月1日起至今（以合同签订日期为准）具有县区级及以上项目业绩经验且完成验收的，每提供一份符合要求的案例得1分，最高得3分。</w:t>
            </w:r>
          </w:p>
          <w:p>
            <w:pPr>
              <w:rPr>
                <w:rFonts w:eastAsia="仿宋"/>
                <w:szCs w:val="21"/>
              </w:rPr>
            </w:pPr>
            <w:r>
              <w:rPr>
                <w:rFonts w:eastAsia="仿宋"/>
                <w:b/>
                <w:szCs w:val="21"/>
              </w:rPr>
              <w:t>注：项目业绩经验指为产权交易机构或公共资源交易中心搭建电子交易采购平台系统。提供合同和验收材料复印件并加盖单位公章，未按要求提供不得分。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462" w:type="dxa"/>
            <w:noWrap w:val="0"/>
            <w:vAlign w:val="center"/>
          </w:tcPr>
          <w:p>
            <w:pPr>
              <w:spacing w:line="276" w:lineRule="auto"/>
              <w:jc w:val="center"/>
              <w:rPr>
                <w:sz w:val="24"/>
              </w:rPr>
            </w:pPr>
            <w:r>
              <w:rPr>
                <w:sz w:val="24"/>
              </w:rPr>
              <w:t>2</w:t>
            </w:r>
          </w:p>
        </w:tc>
        <w:tc>
          <w:tcPr>
            <w:tcW w:w="1494" w:type="dxa"/>
            <w:noWrap w:val="0"/>
            <w:vAlign w:val="center"/>
          </w:tcPr>
          <w:p>
            <w:pPr>
              <w:jc w:val="center"/>
              <w:rPr>
                <w:rFonts w:eastAsia="仿宋"/>
                <w:szCs w:val="21"/>
              </w:rPr>
            </w:pPr>
            <w:r>
              <w:rPr>
                <w:rFonts w:eastAsia="仿宋"/>
                <w:szCs w:val="21"/>
              </w:rPr>
              <w:t>企业综合实力（9分）</w:t>
            </w:r>
          </w:p>
        </w:tc>
        <w:tc>
          <w:tcPr>
            <w:tcW w:w="7080" w:type="dxa"/>
            <w:noWrap w:val="0"/>
            <w:vAlign w:val="center"/>
          </w:tcPr>
          <w:p>
            <w:pPr>
              <w:rPr>
                <w:rFonts w:eastAsia="仿宋"/>
                <w:szCs w:val="21"/>
              </w:rPr>
            </w:pPr>
            <w:r>
              <w:rPr>
                <w:rFonts w:eastAsia="仿宋"/>
                <w:szCs w:val="21"/>
              </w:rPr>
              <w:t>1.投标单位具有有效的由国家认可的权威机构或法定机构颁发的信息安全服务资质证书（软件安全开发三级及以上）、信息安全服务资质证书（信息系统安全集成三级及以上）、信息安全服务资质证书（信息系统安全运维三级及以上），全部具有得3分，少一项得2分，少两项得1分，少三项不得分，扣完为止。</w:t>
            </w:r>
          </w:p>
          <w:p>
            <w:pPr>
              <w:widowControl/>
              <w:autoSpaceDE w:val="0"/>
              <w:autoSpaceDN w:val="0"/>
              <w:spacing w:line="360" w:lineRule="auto"/>
              <w:jc w:val="left"/>
              <w:rPr>
                <w:rFonts w:eastAsia="仿宋"/>
                <w:b/>
                <w:szCs w:val="21"/>
              </w:rPr>
            </w:pPr>
            <w:r>
              <w:rPr>
                <w:rFonts w:eastAsia="仿宋"/>
                <w:b/>
                <w:szCs w:val="21"/>
              </w:rPr>
              <w:t>注：须提供有效的证明材料复印件并加盖单位公章，否则不得分。</w:t>
            </w:r>
          </w:p>
          <w:p>
            <w:pPr>
              <w:rPr>
                <w:rFonts w:eastAsia="仿宋"/>
                <w:szCs w:val="21"/>
              </w:rPr>
            </w:pPr>
            <w:r>
              <w:rPr>
                <w:rFonts w:eastAsia="仿宋"/>
                <w:szCs w:val="21"/>
              </w:rPr>
              <w:t>2.投标单位具有有效的CMMI3级证书得0.5分，CMMI4级证书得1分，CMMI5级证书得1.5分。</w:t>
            </w:r>
          </w:p>
          <w:p>
            <w:pPr>
              <w:rPr>
                <w:rFonts w:eastAsia="仿宋"/>
                <w:b/>
                <w:szCs w:val="21"/>
              </w:rPr>
            </w:pPr>
            <w:r>
              <w:rPr>
                <w:rFonts w:eastAsia="仿宋"/>
                <w:b/>
                <w:szCs w:val="21"/>
              </w:rPr>
              <w:t>注：须提供有效的证明材料复印件并加盖单位公章，否则不得分。</w:t>
            </w:r>
          </w:p>
          <w:p>
            <w:pPr>
              <w:rPr>
                <w:rFonts w:eastAsia="仿宋"/>
                <w:szCs w:val="21"/>
              </w:rPr>
            </w:pPr>
            <w:r>
              <w:rPr>
                <w:rFonts w:eastAsia="仿宋"/>
                <w:szCs w:val="21"/>
              </w:rPr>
              <w:t>3.投标单位具有软件企业AAA级信用等级企业证书、ISO27001信息安全管理体系认证、ISO20000信息技术服务管理体系认证、ISO9001质量管理体系认证、ISO14001环境管理体系认证、ISO45001职业健康安全管理体系认证，全部具有得3分，少一项扣0.5分，扣完为止。</w:t>
            </w:r>
          </w:p>
          <w:p>
            <w:pPr>
              <w:rPr>
                <w:rFonts w:eastAsia="仿宋"/>
                <w:szCs w:val="21"/>
              </w:rPr>
            </w:pPr>
            <w:r>
              <w:rPr>
                <w:rFonts w:eastAsia="仿宋"/>
                <w:b/>
                <w:szCs w:val="21"/>
              </w:rPr>
              <w:t>注：须提供有效的证明材料复印件并加盖单位公章，否则不得分。</w:t>
            </w:r>
            <w:r>
              <w:rPr>
                <w:b/>
                <w:bCs/>
                <w:szCs w:val="21"/>
              </w:rPr>
              <w:br w:type="textWrapping"/>
            </w:r>
            <w:r>
              <w:rPr>
                <w:rFonts w:eastAsia="仿宋"/>
                <w:szCs w:val="21"/>
              </w:rPr>
              <w:t>4.投标单位建设的电子招标投标交易平台需要通过系统检测认证规范，其中三星得1.5分，二星得1分，一星得0.5分。</w:t>
            </w:r>
          </w:p>
          <w:p>
            <w:pPr>
              <w:rPr>
                <w:rFonts w:eastAsia="仿宋"/>
                <w:b/>
                <w:szCs w:val="21"/>
              </w:rPr>
            </w:pPr>
            <w:r>
              <w:rPr>
                <w:rFonts w:eastAsia="仿宋"/>
                <w:b/>
                <w:szCs w:val="21"/>
              </w:rPr>
              <w:t>注：须提供有效的证明材料复印件并加盖单位公章，否则不得分。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462" w:type="dxa"/>
            <w:noWrap w:val="0"/>
            <w:vAlign w:val="center"/>
          </w:tcPr>
          <w:p>
            <w:pPr>
              <w:spacing w:line="276" w:lineRule="auto"/>
              <w:jc w:val="center"/>
              <w:rPr>
                <w:sz w:val="24"/>
              </w:rPr>
            </w:pPr>
            <w:r>
              <w:rPr>
                <w:sz w:val="24"/>
              </w:rPr>
              <w:t>3</w:t>
            </w:r>
          </w:p>
        </w:tc>
        <w:tc>
          <w:tcPr>
            <w:tcW w:w="1494" w:type="dxa"/>
            <w:noWrap w:val="0"/>
            <w:vAlign w:val="center"/>
          </w:tcPr>
          <w:p>
            <w:pPr>
              <w:jc w:val="left"/>
              <w:rPr>
                <w:rFonts w:eastAsia="仿宋"/>
                <w:szCs w:val="21"/>
              </w:rPr>
            </w:pPr>
            <w:r>
              <w:rPr>
                <w:rFonts w:eastAsia="仿宋"/>
                <w:szCs w:val="21"/>
              </w:rPr>
              <w:t>相关软件著作权（3分）</w:t>
            </w:r>
          </w:p>
        </w:tc>
        <w:tc>
          <w:tcPr>
            <w:tcW w:w="7080" w:type="dxa"/>
            <w:noWrap w:val="0"/>
            <w:vAlign w:val="top"/>
          </w:tcPr>
          <w:p>
            <w:pPr>
              <w:jc w:val="left"/>
              <w:rPr>
                <w:rFonts w:eastAsia="仿宋"/>
                <w:szCs w:val="21"/>
              </w:rPr>
            </w:pPr>
            <w:r>
              <w:rPr>
                <w:rFonts w:eastAsia="仿宋"/>
                <w:szCs w:val="21"/>
              </w:rPr>
              <w:t>供应商具有不见面开标系统、电子交易系统、保证金管理系统、CA签章融合交叉互认系统、采购电商平台系统的软件著作权证书，全部具有得3分，少一项得2分，少两项得1分，少三项以上不得分，扣完为止。</w:t>
            </w:r>
          </w:p>
          <w:p>
            <w:pPr>
              <w:jc w:val="left"/>
              <w:rPr>
                <w:rFonts w:eastAsia="仿宋"/>
                <w:b/>
                <w:szCs w:val="21"/>
              </w:rPr>
            </w:pPr>
            <w:r>
              <w:rPr>
                <w:rFonts w:eastAsia="仿宋"/>
                <w:b/>
                <w:szCs w:val="21"/>
              </w:rPr>
              <w:t>注：相关证书复印件加盖单位公章附入资信商务及技术文件中，不提供不得分。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036" w:type="dxa"/>
            <w:gridSpan w:val="3"/>
            <w:noWrap w:val="0"/>
            <w:vAlign w:val="center"/>
          </w:tcPr>
          <w:p>
            <w:pPr>
              <w:jc w:val="center"/>
              <w:rPr>
                <w:rFonts w:hint="eastAsia" w:eastAsia="仿宋"/>
                <w:szCs w:val="21"/>
              </w:rPr>
            </w:pPr>
            <w:r>
              <w:rPr>
                <w:rFonts w:hint="eastAsia"/>
                <w:b/>
                <w:sz w:val="24"/>
              </w:rPr>
              <w:t>二、</w:t>
            </w:r>
            <w:r>
              <w:rPr>
                <w:b/>
                <w:sz w:val="24"/>
              </w:rPr>
              <w:t>技术部分分值为65分，权重为65%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62" w:type="dxa"/>
            <w:noWrap w:val="0"/>
            <w:vAlign w:val="center"/>
          </w:tcPr>
          <w:p>
            <w:pPr>
              <w:jc w:val="center"/>
              <w:rPr>
                <w:sz w:val="24"/>
              </w:rPr>
            </w:pPr>
            <w:r>
              <w:rPr>
                <w:sz w:val="24"/>
              </w:rPr>
              <w:t>1</w:t>
            </w:r>
          </w:p>
        </w:tc>
        <w:tc>
          <w:tcPr>
            <w:tcW w:w="1494" w:type="dxa"/>
            <w:noWrap w:val="0"/>
            <w:vAlign w:val="center"/>
          </w:tcPr>
          <w:p>
            <w:pPr>
              <w:jc w:val="center"/>
              <w:rPr>
                <w:rFonts w:eastAsia="仿宋"/>
                <w:szCs w:val="21"/>
              </w:rPr>
            </w:pPr>
            <w:r>
              <w:rPr>
                <w:rFonts w:eastAsia="仿宋"/>
                <w:szCs w:val="21"/>
              </w:rPr>
              <w:t>项目应用需求理解与分析</w:t>
            </w:r>
          </w:p>
          <w:p>
            <w:pPr>
              <w:jc w:val="center"/>
              <w:rPr>
                <w:rFonts w:eastAsia="仿宋"/>
                <w:szCs w:val="21"/>
              </w:rPr>
            </w:pPr>
            <w:r>
              <w:rPr>
                <w:rFonts w:eastAsia="仿宋"/>
                <w:szCs w:val="21"/>
              </w:rPr>
              <w:t>（2分）</w:t>
            </w:r>
          </w:p>
        </w:tc>
        <w:tc>
          <w:tcPr>
            <w:tcW w:w="7080" w:type="dxa"/>
            <w:noWrap w:val="0"/>
            <w:vAlign w:val="center"/>
          </w:tcPr>
          <w:p>
            <w:pPr>
              <w:kinsoku w:val="0"/>
              <w:overflowPunct w:val="0"/>
              <w:autoSpaceDE w:val="0"/>
              <w:autoSpaceDN w:val="0"/>
              <w:adjustRightInd w:val="0"/>
              <w:snapToGrid w:val="0"/>
              <w:jc w:val="left"/>
              <w:rPr>
                <w:rFonts w:eastAsia="仿宋"/>
                <w:szCs w:val="21"/>
              </w:rPr>
            </w:pPr>
            <w:r>
              <w:rPr>
                <w:rFonts w:eastAsia="仿宋"/>
                <w:szCs w:val="21"/>
              </w:rPr>
              <w:t>供应商根据政策文件、项目需求进行分析，理解透彻、总体设计全面、技术路线完善、系统构架先进合理并可具有扩展性等内容，由评委进行打分。（0-2分）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62" w:type="dxa"/>
            <w:noWrap w:val="0"/>
            <w:vAlign w:val="center"/>
          </w:tcPr>
          <w:p>
            <w:pPr>
              <w:jc w:val="center"/>
              <w:rPr>
                <w:sz w:val="24"/>
              </w:rPr>
            </w:pPr>
            <w:r>
              <w:rPr>
                <w:sz w:val="24"/>
              </w:rPr>
              <w:t>2</w:t>
            </w:r>
          </w:p>
        </w:tc>
        <w:tc>
          <w:tcPr>
            <w:tcW w:w="1494" w:type="dxa"/>
            <w:vMerge w:val="restart"/>
            <w:noWrap w:val="0"/>
            <w:vAlign w:val="center"/>
          </w:tcPr>
          <w:p>
            <w:pPr>
              <w:jc w:val="center"/>
              <w:rPr>
                <w:rFonts w:eastAsia="仿宋"/>
                <w:szCs w:val="21"/>
              </w:rPr>
            </w:pPr>
            <w:r>
              <w:rPr>
                <w:rFonts w:eastAsia="仿宋"/>
                <w:szCs w:val="21"/>
              </w:rPr>
              <w:t>功能性要求</w:t>
            </w:r>
          </w:p>
          <w:p>
            <w:pPr>
              <w:jc w:val="center"/>
              <w:rPr>
                <w:rFonts w:eastAsia="仿宋"/>
                <w:szCs w:val="21"/>
              </w:rPr>
            </w:pPr>
            <w:r>
              <w:rPr>
                <w:rFonts w:eastAsia="仿宋"/>
                <w:szCs w:val="21"/>
              </w:rPr>
              <w:t>（32分）</w:t>
            </w:r>
          </w:p>
        </w:tc>
        <w:tc>
          <w:tcPr>
            <w:tcW w:w="7080" w:type="dxa"/>
            <w:noWrap w:val="0"/>
            <w:vAlign w:val="center"/>
          </w:tcPr>
          <w:p>
            <w:pPr>
              <w:kinsoku w:val="0"/>
              <w:overflowPunct w:val="0"/>
              <w:autoSpaceDE w:val="0"/>
              <w:autoSpaceDN w:val="0"/>
              <w:adjustRightInd w:val="0"/>
              <w:snapToGrid w:val="0"/>
              <w:jc w:val="left"/>
              <w:rPr>
                <w:rFonts w:eastAsia="仿宋"/>
                <w:szCs w:val="21"/>
              </w:rPr>
            </w:pPr>
            <w:r>
              <w:rPr>
                <w:rFonts w:eastAsia="仿宋"/>
                <w:szCs w:val="21"/>
              </w:rPr>
              <w:t>1.采购业务系统</w:t>
            </w:r>
          </w:p>
          <w:p>
            <w:pPr>
              <w:kinsoku w:val="0"/>
              <w:overflowPunct w:val="0"/>
              <w:autoSpaceDE w:val="0"/>
              <w:autoSpaceDN w:val="0"/>
              <w:adjustRightInd w:val="0"/>
              <w:snapToGrid w:val="0"/>
              <w:jc w:val="left"/>
              <w:rPr>
                <w:rFonts w:eastAsia="仿宋"/>
                <w:szCs w:val="21"/>
              </w:rPr>
            </w:pPr>
            <w:r>
              <w:rPr>
                <w:rFonts w:eastAsia="仿宋"/>
                <w:szCs w:val="21"/>
              </w:rPr>
              <w:t>1.1采购业务管理，至少需包括公开招标、谈判采购、询比采购、竞价采购等。功能设计完整全面，需配有相应系统截图，由评委进行打分。（0-3分）</w:t>
            </w:r>
          </w:p>
          <w:p>
            <w:pPr>
              <w:kinsoku w:val="0"/>
              <w:overflowPunct w:val="0"/>
              <w:autoSpaceDE w:val="0"/>
              <w:autoSpaceDN w:val="0"/>
              <w:adjustRightInd w:val="0"/>
              <w:snapToGrid w:val="0"/>
              <w:jc w:val="left"/>
              <w:rPr>
                <w:rFonts w:eastAsia="仿宋"/>
                <w:szCs w:val="21"/>
              </w:rPr>
            </w:pPr>
            <w:r>
              <w:rPr>
                <w:rFonts w:eastAsia="仿宋"/>
                <w:szCs w:val="21"/>
              </w:rPr>
              <w:t>1.2电子文件编制子系统，需包括电子招标文件制作和电子投标文件制作。电子开标评标（评审）子系统，需包括网上开标和电子评标（评审）。功能设计完整全面，需配有相应系统截图，由评委进行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62" w:type="dxa"/>
            <w:noWrap w:val="0"/>
            <w:vAlign w:val="center"/>
          </w:tcPr>
          <w:p>
            <w:pPr>
              <w:jc w:val="center"/>
              <w:rPr>
                <w:sz w:val="24"/>
              </w:rPr>
            </w:pPr>
            <w:r>
              <w:rPr>
                <w:sz w:val="24"/>
              </w:rPr>
              <w:t>3</w:t>
            </w:r>
          </w:p>
        </w:tc>
        <w:tc>
          <w:tcPr>
            <w:tcW w:w="1494" w:type="dxa"/>
            <w:vMerge w:val="continue"/>
            <w:noWrap w:val="0"/>
            <w:vAlign w:val="center"/>
          </w:tcPr>
          <w:p>
            <w:pPr>
              <w:jc w:val="left"/>
              <w:rPr>
                <w:rFonts w:eastAsia="仿宋"/>
                <w:szCs w:val="21"/>
              </w:rPr>
            </w:pPr>
          </w:p>
        </w:tc>
        <w:tc>
          <w:tcPr>
            <w:tcW w:w="7080" w:type="dxa"/>
            <w:noWrap w:val="0"/>
            <w:vAlign w:val="center"/>
          </w:tcPr>
          <w:p>
            <w:pPr>
              <w:kinsoku w:val="0"/>
              <w:overflowPunct w:val="0"/>
              <w:autoSpaceDE w:val="0"/>
              <w:autoSpaceDN w:val="0"/>
              <w:adjustRightInd w:val="0"/>
              <w:snapToGrid w:val="0"/>
              <w:jc w:val="left"/>
              <w:rPr>
                <w:rFonts w:eastAsia="仿宋"/>
                <w:szCs w:val="21"/>
              </w:rPr>
            </w:pPr>
            <w:r>
              <w:rPr>
                <w:rFonts w:eastAsia="仿宋"/>
                <w:szCs w:val="21"/>
              </w:rPr>
              <w:t>2.不见面开标大厅</w:t>
            </w:r>
          </w:p>
          <w:p>
            <w:pPr>
              <w:kinsoku w:val="0"/>
              <w:overflowPunct w:val="0"/>
              <w:autoSpaceDE w:val="0"/>
              <w:autoSpaceDN w:val="0"/>
              <w:adjustRightInd w:val="0"/>
              <w:snapToGrid w:val="0"/>
              <w:jc w:val="left"/>
              <w:rPr>
                <w:rFonts w:eastAsia="仿宋"/>
                <w:szCs w:val="21"/>
              </w:rPr>
            </w:pPr>
            <w:r>
              <w:rPr>
                <w:rFonts w:eastAsia="仿宋"/>
                <w:szCs w:val="21"/>
              </w:rPr>
              <w:t>2.1开标大厅，至少需包括拟场景展示、通用功能、登录、投标人签到、开标倒计时展示等。功能设计完整全面，需配有相应系统截图，由评委进行打分。（0-2分）</w:t>
            </w:r>
          </w:p>
          <w:p>
            <w:pPr>
              <w:kinsoku w:val="0"/>
              <w:overflowPunct w:val="0"/>
              <w:autoSpaceDE w:val="0"/>
              <w:autoSpaceDN w:val="0"/>
              <w:adjustRightInd w:val="0"/>
              <w:snapToGrid w:val="0"/>
              <w:jc w:val="left"/>
              <w:rPr>
                <w:rFonts w:eastAsia="仿宋"/>
                <w:szCs w:val="21"/>
              </w:rPr>
            </w:pPr>
            <w:r>
              <w:rPr>
                <w:rFonts w:eastAsia="仿宋"/>
                <w:szCs w:val="21"/>
              </w:rPr>
              <w:t>2.2视音频直播交互需包括视频直播、多方式交互、多场景交互。功能设计完整全面，需配有相应系统截图，由评委进行打分。（0-2分）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62" w:type="dxa"/>
            <w:noWrap w:val="0"/>
            <w:vAlign w:val="center"/>
          </w:tcPr>
          <w:p>
            <w:pPr>
              <w:jc w:val="center"/>
              <w:rPr>
                <w:sz w:val="24"/>
              </w:rPr>
            </w:pPr>
            <w:r>
              <w:rPr>
                <w:sz w:val="24"/>
              </w:rPr>
              <w:t>4</w:t>
            </w:r>
          </w:p>
        </w:tc>
        <w:tc>
          <w:tcPr>
            <w:tcW w:w="1494" w:type="dxa"/>
            <w:vMerge w:val="continue"/>
            <w:noWrap w:val="0"/>
            <w:vAlign w:val="center"/>
          </w:tcPr>
          <w:p>
            <w:pPr>
              <w:jc w:val="left"/>
              <w:rPr>
                <w:rFonts w:eastAsia="仿宋"/>
                <w:szCs w:val="21"/>
              </w:rPr>
            </w:pPr>
          </w:p>
        </w:tc>
        <w:tc>
          <w:tcPr>
            <w:tcW w:w="7080" w:type="dxa"/>
            <w:noWrap w:val="0"/>
            <w:vAlign w:val="center"/>
          </w:tcPr>
          <w:p>
            <w:pPr>
              <w:kinsoku w:val="0"/>
              <w:overflowPunct w:val="0"/>
              <w:autoSpaceDE w:val="0"/>
              <w:autoSpaceDN w:val="0"/>
              <w:adjustRightInd w:val="0"/>
              <w:snapToGrid w:val="0"/>
              <w:jc w:val="left"/>
              <w:rPr>
                <w:rFonts w:eastAsia="仿宋"/>
                <w:szCs w:val="21"/>
              </w:rPr>
            </w:pPr>
            <w:r>
              <w:rPr>
                <w:rFonts w:eastAsia="仿宋"/>
                <w:szCs w:val="21"/>
              </w:rPr>
              <w:t>3.供应商管理系统，至少需包括供应商准入评估、基本信息维护、资质预警管理、供应商分级管理。功能设计完整全面，需配有相应系统截图，由评委进行打分。（0-3分）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62" w:type="dxa"/>
            <w:noWrap w:val="0"/>
            <w:vAlign w:val="center"/>
          </w:tcPr>
          <w:p>
            <w:pPr>
              <w:jc w:val="center"/>
              <w:rPr>
                <w:sz w:val="24"/>
              </w:rPr>
            </w:pPr>
            <w:r>
              <w:rPr>
                <w:sz w:val="24"/>
              </w:rPr>
              <w:t>5</w:t>
            </w:r>
          </w:p>
        </w:tc>
        <w:tc>
          <w:tcPr>
            <w:tcW w:w="1494" w:type="dxa"/>
            <w:vMerge w:val="continue"/>
            <w:noWrap w:val="0"/>
            <w:vAlign w:val="center"/>
          </w:tcPr>
          <w:p>
            <w:pPr>
              <w:jc w:val="left"/>
              <w:rPr>
                <w:rFonts w:eastAsia="仿宋"/>
                <w:szCs w:val="21"/>
              </w:rPr>
            </w:pPr>
          </w:p>
        </w:tc>
        <w:tc>
          <w:tcPr>
            <w:tcW w:w="7080" w:type="dxa"/>
            <w:noWrap w:val="0"/>
            <w:vAlign w:val="center"/>
          </w:tcPr>
          <w:p>
            <w:pPr>
              <w:kinsoku w:val="0"/>
              <w:overflowPunct w:val="0"/>
              <w:autoSpaceDE w:val="0"/>
              <w:autoSpaceDN w:val="0"/>
              <w:adjustRightInd w:val="0"/>
              <w:snapToGrid w:val="0"/>
              <w:jc w:val="left"/>
              <w:rPr>
                <w:rFonts w:eastAsia="仿宋"/>
                <w:szCs w:val="21"/>
              </w:rPr>
            </w:pPr>
            <w:r>
              <w:rPr>
                <w:rFonts w:eastAsia="仿宋"/>
                <w:szCs w:val="21"/>
              </w:rPr>
              <w:t>4.专家管理系统，至少需包括专家网上申报、专家库管理、专家审核管理。功能设计完整全面，需配有相应系统截图，由评委进行打分。（0-2分）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62" w:type="dxa"/>
            <w:noWrap w:val="0"/>
            <w:vAlign w:val="center"/>
          </w:tcPr>
          <w:p>
            <w:pPr>
              <w:jc w:val="center"/>
              <w:rPr>
                <w:sz w:val="24"/>
              </w:rPr>
            </w:pPr>
            <w:r>
              <w:rPr>
                <w:sz w:val="24"/>
              </w:rPr>
              <w:t>6</w:t>
            </w:r>
          </w:p>
        </w:tc>
        <w:tc>
          <w:tcPr>
            <w:tcW w:w="1494" w:type="dxa"/>
            <w:vMerge w:val="continue"/>
            <w:noWrap w:val="0"/>
            <w:vAlign w:val="center"/>
          </w:tcPr>
          <w:p>
            <w:pPr>
              <w:jc w:val="left"/>
              <w:rPr>
                <w:rFonts w:eastAsia="仿宋"/>
                <w:szCs w:val="21"/>
              </w:rPr>
            </w:pPr>
          </w:p>
        </w:tc>
        <w:tc>
          <w:tcPr>
            <w:tcW w:w="7080" w:type="dxa"/>
            <w:noWrap w:val="0"/>
            <w:vAlign w:val="center"/>
          </w:tcPr>
          <w:p>
            <w:pPr>
              <w:kinsoku w:val="0"/>
              <w:overflowPunct w:val="0"/>
              <w:autoSpaceDE w:val="0"/>
              <w:autoSpaceDN w:val="0"/>
              <w:adjustRightInd w:val="0"/>
              <w:snapToGrid w:val="0"/>
              <w:jc w:val="left"/>
              <w:rPr>
                <w:rFonts w:eastAsia="仿宋"/>
                <w:szCs w:val="21"/>
              </w:rPr>
            </w:pPr>
            <w:r>
              <w:rPr>
                <w:rFonts w:eastAsia="仿宋"/>
                <w:szCs w:val="21"/>
              </w:rPr>
              <w:t>5.资金管理系统，至少需包括平台服务费、电子保函</w:t>
            </w:r>
            <w:r>
              <w:rPr>
                <w:rFonts w:hint="eastAsia" w:eastAsia="仿宋"/>
                <w:szCs w:val="21"/>
              </w:rPr>
              <w:t>、</w:t>
            </w:r>
            <w:r>
              <w:rPr>
                <w:rFonts w:eastAsia="仿宋"/>
                <w:szCs w:val="21"/>
              </w:rPr>
              <w:t>保证金管理、资金对账管理。功能设计完整全面，需配有相应系统截图，由评委进行打分。（0-2分）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62" w:type="dxa"/>
            <w:noWrap w:val="0"/>
            <w:vAlign w:val="center"/>
          </w:tcPr>
          <w:p>
            <w:pPr>
              <w:jc w:val="center"/>
              <w:rPr>
                <w:sz w:val="24"/>
              </w:rPr>
            </w:pPr>
            <w:r>
              <w:rPr>
                <w:sz w:val="24"/>
              </w:rPr>
              <w:t>7</w:t>
            </w:r>
          </w:p>
        </w:tc>
        <w:tc>
          <w:tcPr>
            <w:tcW w:w="1494" w:type="dxa"/>
            <w:vMerge w:val="continue"/>
            <w:noWrap w:val="0"/>
            <w:vAlign w:val="center"/>
          </w:tcPr>
          <w:p>
            <w:pPr>
              <w:jc w:val="left"/>
              <w:rPr>
                <w:rFonts w:eastAsia="仿宋"/>
                <w:szCs w:val="21"/>
              </w:rPr>
            </w:pPr>
          </w:p>
        </w:tc>
        <w:tc>
          <w:tcPr>
            <w:tcW w:w="7080" w:type="dxa"/>
            <w:noWrap w:val="0"/>
            <w:vAlign w:val="center"/>
          </w:tcPr>
          <w:p>
            <w:pPr>
              <w:kinsoku w:val="0"/>
              <w:overflowPunct w:val="0"/>
              <w:autoSpaceDE w:val="0"/>
              <w:autoSpaceDN w:val="0"/>
              <w:adjustRightInd w:val="0"/>
              <w:snapToGrid w:val="0"/>
              <w:jc w:val="left"/>
              <w:rPr>
                <w:rFonts w:eastAsia="仿宋"/>
                <w:szCs w:val="21"/>
              </w:rPr>
            </w:pPr>
            <w:r>
              <w:rPr>
                <w:rFonts w:eastAsia="仿宋"/>
                <w:szCs w:val="21"/>
              </w:rPr>
              <w:t>6.数据分析系统，需包括数据管理、数据查询统计。功能设计完整全面，需配有相应系统截图，由评委进行打分。（0-2分）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62" w:type="dxa"/>
            <w:noWrap w:val="0"/>
            <w:vAlign w:val="center"/>
          </w:tcPr>
          <w:p>
            <w:pPr>
              <w:jc w:val="center"/>
              <w:rPr>
                <w:sz w:val="24"/>
              </w:rPr>
            </w:pPr>
            <w:r>
              <w:rPr>
                <w:sz w:val="24"/>
              </w:rPr>
              <w:t>8</w:t>
            </w:r>
          </w:p>
        </w:tc>
        <w:tc>
          <w:tcPr>
            <w:tcW w:w="1494" w:type="dxa"/>
            <w:vMerge w:val="continue"/>
            <w:noWrap w:val="0"/>
            <w:vAlign w:val="center"/>
          </w:tcPr>
          <w:p>
            <w:pPr>
              <w:jc w:val="left"/>
              <w:rPr>
                <w:rFonts w:eastAsia="仿宋"/>
                <w:szCs w:val="21"/>
              </w:rPr>
            </w:pPr>
          </w:p>
        </w:tc>
        <w:tc>
          <w:tcPr>
            <w:tcW w:w="7080" w:type="dxa"/>
            <w:noWrap w:val="0"/>
            <w:vAlign w:val="center"/>
          </w:tcPr>
          <w:p>
            <w:pPr>
              <w:kinsoku w:val="0"/>
              <w:overflowPunct w:val="0"/>
              <w:autoSpaceDE w:val="0"/>
              <w:autoSpaceDN w:val="0"/>
              <w:adjustRightInd w:val="0"/>
              <w:snapToGrid w:val="0"/>
              <w:jc w:val="left"/>
              <w:rPr>
                <w:rFonts w:eastAsia="仿宋"/>
                <w:szCs w:val="21"/>
                <w:highlight w:val="yellow"/>
              </w:rPr>
            </w:pPr>
            <w:r>
              <w:rPr>
                <w:rFonts w:eastAsia="仿宋"/>
                <w:szCs w:val="21"/>
              </w:rPr>
              <w:t>7.电子商城，需包括网上商城网站、采购人系统、供应商系统、运维管理系统、网上商城数据分析。功能设计完整全面，需配有相应系统截图，由评委进行打分。（0-2分）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62" w:type="dxa"/>
            <w:noWrap w:val="0"/>
            <w:vAlign w:val="center"/>
          </w:tcPr>
          <w:p>
            <w:pPr>
              <w:jc w:val="center"/>
              <w:rPr>
                <w:sz w:val="24"/>
              </w:rPr>
            </w:pPr>
            <w:r>
              <w:rPr>
                <w:sz w:val="24"/>
              </w:rPr>
              <w:t>9</w:t>
            </w:r>
          </w:p>
        </w:tc>
        <w:tc>
          <w:tcPr>
            <w:tcW w:w="1494" w:type="dxa"/>
            <w:vMerge w:val="continue"/>
            <w:noWrap w:val="0"/>
            <w:vAlign w:val="center"/>
          </w:tcPr>
          <w:p>
            <w:pPr>
              <w:jc w:val="left"/>
              <w:rPr>
                <w:rFonts w:eastAsia="仿宋"/>
                <w:szCs w:val="21"/>
              </w:rPr>
            </w:pPr>
          </w:p>
        </w:tc>
        <w:tc>
          <w:tcPr>
            <w:tcW w:w="7080" w:type="dxa"/>
            <w:noWrap w:val="0"/>
            <w:vAlign w:val="center"/>
          </w:tcPr>
          <w:p>
            <w:pPr>
              <w:kinsoku w:val="0"/>
              <w:overflowPunct w:val="0"/>
              <w:autoSpaceDE w:val="0"/>
              <w:autoSpaceDN w:val="0"/>
              <w:adjustRightInd w:val="0"/>
              <w:snapToGrid w:val="0"/>
              <w:jc w:val="left"/>
              <w:rPr>
                <w:rFonts w:eastAsia="仿宋"/>
                <w:szCs w:val="21"/>
              </w:rPr>
            </w:pPr>
            <w:r>
              <w:rPr>
                <w:rFonts w:eastAsia="仿宋"/>
                <w:szCs w:val="21"/>
              </w:rPr>
              <w:t>8.电子监管平台，需包括交易过程备案、电子监察、操作日志备案、数据分析。功能设计完整全面，需配有相应系统截图，由评委进行打分。（0-3分）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62" w:type="dxa"/>
            <w:noWrap w:val="0"/>
            <w:vAlign w:val="center"/>
          </w:tcPr>
          <w:p>
            <w:pPr>
              <w:jc w:val="center"/>
              <w:rPr>
                <w:sz w:val="24"/>
              </w:rPr>
            </w:pPr>
            <w:r>
              <w:rPr>
                <w:sz w:val="24"/>
              </w:rPr>
              <w:t>10</w:t>
            </w:r>
          </w:p>
        </w:tc>
        <w:tc>
          <w:tcPr>
            <w:tcW w:w="1494" w:type="dxa"/>
            <w:vMerge w:val="continue"/>
            <w:noWrap w:val="0"/>
            <w:vAlign w:val="center"/>
          </w:tcPr>
          <w:p>
            <w:pPr>
              <w:jc w:val="left"/>
              <w:rPr>
                <w:rFonts w:eastAsia="仿宋"/>
                <w:szCs w:val="21"/>
              </w:rPr>
            </w:pPr>
          </w:p>
        </w:tc>
        <w:tc>
          <w:tcPr>
            <w:tcW w:w="7080" w:type="dxa"/>
            <w:noWrap w:val="0"/>
            <w:vAlign w:val="center"/>
          </w:tcPr>
          <w:p>
            <w:pPr>
              <w:kinsoku w:val="0"/>
              <w:overflowPunct w:val="0"/>
              <w:autoSpaceDE w:val="0"/>
              <w:autoSpaceDN w:val="0"/>
              <w:adjustRightInd w:val="0"/>
              <w:snapToGrid w:val="0"/>
              <w:jc w:val="left"/>
              <w:rPr>
                <w:rFonts w:eastAsia="仿宋"/>
                <w:szCs w:val="21"/>
              </w:rPr>
            </w:pPr>
            <w:r>
              <w:rPr>
                <w:rFonts w:eastAsia="仿宋"/>
                <w:szCs w:val="21"/>
              </w:rPr>
              <w:t>9.项目系统与相关系统的衔接情况：</w:t>
            </w:r>
          </w:p>
          <w:p>
            <w:pPr>
              <w:kinsoku w:val="0"/>
              <w:overflowPunct w:val="0"/>
              <w:autoSpaceDE w:val="0"/>
              <w:autoSpaceDN w:val="0"/>
              <w:adjustRightInd w:val="0"/>
              <w:snapToGrid w:val="0"/>
              <w:jc w:val="left"/>
              <w:rPr>
                <w:rFonts w:eastAsia="仿宋"/>
                <w:szCs w:val="21"/>
              </w:rPr>
            </w:pPr>
            <w:r>
              <w:rPr>
                <w:rFonts w:eastAsia="仿宋"/>
                <w:szCs w:val="21"/>
              </w:rPr>
              <w:t>9.1本次项目建设需与主体库、专家库、门户网站等对接，支撑交易流程的开展。供应商需提供详细的对接方案，由评委进行打分。（0-2分）</w:t>
            </w:r>
          </w:p>
          <w:p>
            <w:pPr>
              <w:kinsoku w:val="0"/>
              <w:overflowPunct w:val="0"/>
              <w:autoSpaceDE w:val="0"/>
              <w:autoSpaceDN w:val="0"/>
              <w:adjustRightInd w:val="0"/>
              <w:snapToGrid w:val="0"/>
              <w:jc w:val="left"/>
              <w:rPr>
                <w:rFonts w:eastAsia="仿宋"/>
                <w:szCs w:val="21"/>
              </w:rPr>
            </w:pPr>
            <w:r>
              <w:rPr>
                <w:rFonts w:eastAsia="仿宋"/>
                <w:szCs w:val="21"/>
              </w:rPr>
              <w:t>9.2有与县区级及以上相关库和门户网站对接的案例，每个得1分，最高得2分。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62" w:type="dxa"/>
            <w:noWrap w:val="0"/>
            <w:vAlign w:val="center"/>
          </w:tcPr>
          <w:p>
            <w:pPr>
              <w:jc w:val="center"/>
              <w:rPr>
                <w:sz w:val="24"/>
              </w:rPr>
            </w:pPr>
            <w:r>
              <w:rPr>
                <w:sz w:val="24"/>
              </w:rPr>
              <w:t>11</w:t>
            </w:r>
          </w:p>
        </w:tc>
        <w:tc>
          <w:tcPr>
            <w:tcW w:w="1494" w:type="dxa"/>
            <w:vMerge w:val="continue"/>
            <w:noWrap w:val="0"/>
            <w:vAlign w:val="center"/>
          </w:tcPr>
          <w:p>
            <w:pPr>
              <w:jc w:val="left"/>
              <w:rPr>
                <w:rFonts w:eastAsia="仿宋"/>
                <w:szCs w:val="21"/>
              </w:rPr>
            </w:pPr>
          </w:p>
        </w:tc>
        <w:tc>
          <w:tcPr>
            <w:tcW w:w="7080" w:type="dxa"/>
            <w:noWrap w:val="0"/>
            <w:vAlign w:val="top"/>
          </w:tcPr>
          <w:p>
            <w:pPr>
              <w:widowControl/>
              <w:jc w:val="left"/>
              <w:rPr>
                <w:rFonts w:eastAsia="仿宋"/>
                <w:szCs w:val="21"/>
              </w:rPr>
            </w:pPr>
            <w:r>
              <w:rPr>
                <w:rFonts w:eastAsia="仿宋"/>
                <w:szCs w:val="21"/>
              </w:rPr>
              <w:t xml:space="preserve">10. </w:t>
            </w:r>
            <w:r>
              <w:rPr>
                <w:rFonts w:hint="eastAsia" w:eastAsia="仿宋"/>
                <w:szCs w:val="21"/>
              </w:rPr>
              <w:t>系统支持租户入驻功能，并支持为租户开设“门户子网站”功能</w:t>
            </w:r>
            <w:r>
              <w:rPr>
                <w:rFonts w:eastAsia="仿宋"/>
                <w:szCs w:val="21"/>
              </w:rPr>
              <w:t>10.1.栏目频道、信息发布（采购信息发布、行业信息发布、综合信息发布），由评委进行打分（0-2分）</w:t>
            </w:r>
          </w:p>
          <w:p>
            <w:pPr>
              <w:widowControl/>
              <w:jc w:val="left"/>
              <w:rPr>
                <w:rFonts w:eastAsia="仿宋"/>
                <w:szCs w:val="21"/>
              </w:rPr>
            </w:pPr>
            <w:r>
              <w:rPr>
                <w:rFonts w:eastAsia="仿宋"/>
                <w:szCs w:val="21"/>
              </w:rPr>
              <w:t>10.2功能设计完整全面，完全符合招标文件要求且配有相应系统截图，由评委进行打分。（0-2分）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62" w:type="dxa"/>
            <w:noWrap w:val="0"/>
            <w:vAlign w:val="center"/>
          </w:tcPr>
          <w:p>
            <w:pPr>
              <w:jc w:val="center"/>
              <w:rPr>
                <w:sz w:val="24"/>
              </w:rPr>
            </w:pPr>
            <w:r>
              <w:rPr>
                <w:sz w:val="24"/>
              </w:rPr>
              <w:t>12</w:t>
            </w:r>
          </w:p>
        </w:tc>
        <w:tc>
          <w:tcPr>
            <w:tcW w:w="1494" w:type="dxa"/>
            <w:noWrap w:val="0"/>
            <w:vAlign w:val="center"/>
          </w:tcPr>
          <w:p>
            <w:pPr>
              <w:widowControl/>
              <w:jc w:val="center"/>
              <w:rPr>
                <w:rFonts w:eastAsia="仿宋"/>
                <w:szCs w:val="21"/>
              </w:rPr>
            </w:pPr>
            <w:r>
              <w:rPr>
                <w:rFonts w:eastAsia="仿宋"/>
                <w:szCs w:val="21"/>
              </w:rPr>
              <w:t>项目组人员</w:t>
            </w:r>
          </w:p>
          <w:p>
            <w:pPr>
              <w:widowControl/>
              <w:jc w:val="center"/>
              <w:rPr>
                <w:rFonts w:eastAsia="仿宋"/>
                <w:szCs w:val="21"/>
              </w:rPr>
            </w:pPr>
            <w:r>
              <w:rPr>
                <w:rFonts w:eastAsia="仿宋"/>
                <w:szCs w:val="21"/>
              </w:rPr>
              <w:t>配置（3分）</w:t>
            </w:r>
          </w:p>
        </w:tc>
        <w:tc>
          <w:tcPr>
            <w:tcW w:w="7080" w:type="dxa"/>
            <w:noWrap w:val="0"/>
            <w:vAlign w:val="top"/>
          </w:tcPr>
          <w:p>
            <w:pPr>
              <w:widowControl/>
              <w:tabs>
                <w:tab w:val="left" w:pos="312"/>
              </w:tabs>
              <w:jc w:val="left"/>
              <w:rPr>
                <w:rFonts w:eastAsia="仿宋"/>
                <w:szCs w:val="21"/>
              </w:rPr>
            </w:pPr>
            <w:r>
              <w:rPr>
                <w:rFonts w:hint="eastAsia" w:eastAsia="仿宋"/>
                <w:szCs w:val="21"/>
              </w:rPr>
              <w:t>1.</w:t>
            </w:r>
            <w:r>
              <w:rPr>
                <w:rFonts w:eastAsia="仿宋"/>
                <w:szCs w:val="21"/>
              </w:rPr>
              <w:t>项目经理：拟派项目经理的资质具有高级系统分析师（系统分析员）、系统架构设计师，满足1项得1分，同时满足两项得2分。</w:t>
            </w:r>
          </w:p>
          <w:p>
            <w:pPr>
              <w:widowControl/>
              <w:jc w:val="left"/>
              <w:rPr>
                <w:rFonts w:eastAsia="仿宋"/>
                <w:szCs w:val="21"/>
              </w:rPr>
            </w:pPr>
            <w:r>
              <w:rPr>
                <w:rFonts w:eastAsia="仿宋"/>
                <w:szCs w:val="21"/>
              </w:rPr>
              <w:t>2.项目组成员（项目经理除外）人数在满足资格要求的前提下，每增加1人得0.5分，最多加1分。</w:t>
            </w:r>
          </w:p>
          <w:p>
            <w:pPr>
              <w:widowControl/>
              <w:jc w:val="left"/>
              <w:rPr>
                <w:rFonts w:eastAsia="仿宋"/>
                <w:b/>
                <w:szCs w:val="21"/>
              </w:rPr>
            </w:pPr>
            <w:r>
              <w:rPr>
                <w:rFonts w:eastAsia="仿宋"/>
                <w:b/>
                <w:szCs w:val="21"/>
              </w:rPr>
              <w:t>注：需提供相关人员证书、近三个月任意一个月的个人本单位社保缴纳证明等证明材料复印件并加盖单位公章，不提供不得分。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62" w:type="dxa"/>
            <w:noWrap w:val="0"/>
            <w:vAlign w:val="center"/>
          </w:tcPr>
          <w:p>
            <w:pPr>
              <w:jc w:val="center"/>
              <w:rPr>
                <w:sz w:val="24"/>
              </w:rPr>
            </w:pPr>
            <w:r>
              <w:rPr>
                <w:sz w:val="24"/>
              </w:rPr>
              <w:t>13</w:t>
            </w:r>
          </w:p>
        </w:tc>
        <w:tc>
          <w:tcPr>
            <w:tcW w:w="1494" w:type="dxa"/>
            <w:noWrap w:val="0"/>
            <w:vAlign w:val="center"/>
          </w:tcPr>
          <w:p>
            <w:pPr>
              <w:widowControl/>
              <w:jc w:val="center"/>
              <w:rPr>
                <w:rFonts w:eastAsia="仿宋"/>
                <w:szCs w:val="21"/>
              </w:rPr>
            </w:pPr>
            <w:r>
              <w:rPr>
                <w:rFonts w:eastAsia="仿宋"/>
                <w:szCs w:val="21"/>
              </w:rPr>
              <w:t>售后服务情况（5分）</w:t>
            </w:r>
          </w:p>
        </w:tc>
        <w:tc>
          <w:tcPr>
            <w:tcW w:w="7080" w:type="dxa"/>
            <w:noWrap w:val="0"/>
            <w:vAlign w:val="center"/>
          </w:tcPr>
          <w:p>
            <w:pPr>
              <w:widowControl/>
              <w:jc w:val="left"/>
              <w:rPr>
                <w:rFonts w:eastAsia="仿宋"/>
                <w:szCs w:val="21"/>
              </w:rPr>
            </w:pPr>
            <w:r>
              <w:rPr>
                <w:rFonts w:eastAsia="仿宋"/>
                <w:szCs w:val="21"/>
              </w:rPr>
              <w:t>根据供应商提供的售后服务方案及应急响应方案、及时排除技术故障，能够持续为用户方提供改善优化、迭代提升的合理化建议，有完备的售后服务管理体系的和售后服务团队支撑：</w:t>
            </w:r>
          </w:p>
          <w:p>
            <w:pPr>
              <w:widowControl/>
              <w:rPr>
                <w:rFonts w:eastAsia="仿宋"/>
                <w:szCs w:val="21"/>
              </w:rPr>
            </w:pPr>
            <w:r>
              <w:rPr>
                <w:rFonts w:eastAsia="仿宋"/>
                <w:szCs w:val="21"/>
              </w:rPr>
              <w:t>1.人员驻场，驻场人员要求：驻场2名技术人员。</w:t>
            </w:r>
          </w:p>
          <w:p>
            <w:pPr>
              <w:widowControl/>
              <w:jc w:val="left"/>
              <w:rPr>
                <w:rFonts w:eastAsia="仿宋"/>
                <w:szCs w:val="21"/>
              </w:rPr>
            </w:pPr>
            <w:r>
              <w:rPr>
                <w:rFonts w:eastAsia="仿宋"/>
                <w:szCs w:val="21"/>
              </w:rPr>
              <w:t>2.客服服务：需提供5*8小时的电话客服服务。</w:t>
            </w:r>
          </w:p>
          <w:p>
            <w:pPr>
              <w:widowControl/>
              <w:jc w:val="left"/>
              <w:rPr>
                <w:rFonts w:eastAsia="仿宋"/>
                <w:szCs w:val="21"/>
              </w:rPr>
            </w:pPr>
            <w:r>
              <w:rPr>
                <w:rFonts w:eastAsia="仿宋"/>
                <w:szCs w:val="21"/>
              </w:rPr>
              <w:t>由评委进行打分。（0-5分）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62" w:type="dxa"/>
            <w:noWrap w:val="0"/>
            <w:vAlign w:val="center"/>
          </w:tcPr>
          <w:p>
            <w:pPr>
              <w:jc w:val="center"/>
              <w:rPr>
                <w:sz w:val="24"/>
              </w:rPr>
            </w:pPr>
            <w:r>
              <w:rPr>
                <w:sz w:val="24"/>
              </w:rPr>
              <w:t>14</w:t>
            </w:r>
          </w:p>
        </w:tc>
        <w:tc>
          <w:tcPr>
            <w:tcW w:w="1494" w:type="dxa"/>
            <w:noWrap w:val="0"/>
            <w:vAlign w:val="center"/>
          </w:tcPr>
          <w:p>
            <w:pPr>
              <w:widowControl/>
              <w:jc w:val="center"/>
              <w:rPr>
                <w:rFonts w:eastAsia="仿宋"/>
                <w:szCs w:val="21"/>
              </w:rPr>
            </w:pPr>
            <w:r>
              <w:rPr>
                <w:rFonts w:eastAsia="仿宋"/>
                <w:szCs w:val="21"/>
              </w:rPr>
              <w:t>安全性要求</w:t>
            </w:r>
          </w:p>
          <w:p>
            <w:pPr>
              <w:widowControl/>
              <w:jc w:val="center"/>
              <w:rPr>
                <w:rFonts w:eastAsia="仿宋"/>
                <w:szCs w:val="21"/>
              </w:rPr>
            </w:pPr>
            <w:r>
              <w:rPr>
                <w:rFonts w:eastAsia="仿宋"/>
                <w:szCs w:val="21"/>
              </w:rPr>
              <w:t>（3分）</w:t>
            </w:r>
          </w:p>
        </w:tc>
        <w:tc>
          <w:tcPr>
            <w:tcW w:w="7080" w:type="dxa"/>
            <w:noWrap w:val="0"/>
            <w:vAlign w:val="center"/>
          </w:tcPr>
          <w:p>
            <w:pPr>
              <w:widowControl/>
              <w:jc w:val="left"/>
              <w:rPr>
                <w:rFonts w:eastAsia="仿宋"/>
                <w:szCs w:val="21"/>
              </w:rPr>
            </w:pPr>
            <w:r>
              <w:rPr>
                <w:rFonts w:eastAsia="仿宋"/>
                <w:szCs w:val="21"/>
              </w:rPr>
              <w:t>系统需满足等保三级的建设要求，满足得3分，不满足不得分。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62" w:type="dxa"/>
            <w:noWrap w:val="0"/>
            <w:vAlign w:val="center"/>
          </w:tcPr>
          <w:p>
            <w:pPr>
              <w:jc w:val="center"/>
              <w:rPr>
                <w:sz w:val="24"/>
              </w:rPr>
            </w:pPr>
            <w:r>
              <w:rPr>
                <w:sz w:val="24"/>
              </w:rPr>
              <w:t>15</w:t>
            </w:r>
          </w:p>
        </w:tc>
        <w:tc>
          <w:tcPr>
            <w:tcW w:w="1494" w:type="dxa"/>
            <w:noWrap w:val="0"/>
            <w:vAlign w:val="center"/>
          </w:tcPr>
          <w:p>
            <w:pPr>
              <w:widowControl/>
              <w:jc w:val="center"/>
              <w:rPr>
                <w:rFonts w:eastAsia="仿宋"/>
                <w:szCs w:val="21"/>
              </w:rPr>
            </w:pPr>
            <w:r>
              <w:rPr>
                <w:rFonts w:eastAsia="仿宋"/>
                <w:szCs w:val="21"/>
              </w:rPr>
              <w:t>系统性能要求（3分）</w:t>
            </w:r>
          </w:p>
        </w:tc>
        <w:tc>
          <w:tcPr>
            <w:tcW w:w="7080" w:type="dxa"/>
            <w:noWrap w:val="0"/>
            <w:vAlign w:val="top"/>
          </w:tcPr>
          <w:p>
            <w:pPr>
              <w:jc w:val="left"/>
              <w:rPr>
                <w:rFonts w:eastAsia="仿宋"/>
                <w:szCs w:val="21"/>
              </w:rPr>
            </w:pPr>
            <w:r>
              <w:rPr>
                <w:rFonts w:eastAsia="仿宋"/>
                <w:szCs w:val="21"/>
              </w:rPr>
              <w:t>1.系统采用三层架构体系结构，充分考虑到今后的纵向和横向平滑扩张能力。</w:t>
            </w:r>
          </w:p>
          <w:p>
            <w:pPr>
              <w:jc w:val="left"/>
              <w:rPr>
                <w:rFonts w:eastAsia="仿宋"/>
                <w:szCs w:val="21"/>
              </w:rPr>
            </w:pPr>
            <w:r>
              <w:rPr>
                <w:rFonts w:eastAsia="仿宋"/>
                <w:szCs w:val="21"/>
              </w:rPr>
              <w:t>2.系统支持1000个普通同时在线用户的性能要求，当100个用户并发请求同一个中等复杂度的事物时，响应时间不超过3秒。</w:t>
            </w:r>
          </w:p>
          <w:p>
            <w:pPr>
              <w:jc w:val="left"/>
              <w:rPr>
                <w:rFonts w:eastAsia="仿宋"/>
                <w:szCs w:val="21"/>
              </w:rPr>
            </w:pPr>
            <w:r>
              <w:rPr>
                <w:rFonts w:eastAsia="仿宋"/>
                <w:szCs w:val="21"/>
              </w:rPr>
              <w:t>3.系统支持500 万记录数、500GB字节的年数据量。</w:t>
            </w:r>
          </w:p>
          <w:p>
            <w:pPr>
              <w:jc w:val="left"/>
              <w:rPr>
                <w:rFonts w:eastAsia="仿宋"/>
                <w:szCs w:val="21"/>
              </w:rPr>
            </w:pPr>
            <w:r>
              <w:rPr>
                <w:rFonts w:eastAsia="仿宋"/>
                <w:szCs w:val="21"/>
              </w:rPr>
              <w:t>4.系统支持7*24 小时连续运行，平均非计划年故障时间&lt;1 天，平均故障修复时间&lt;30 分钟。</w:t>
            </w:r>
          </w:p>
          <w:p>
            <w:pPr>
              <w:jc w:val="left"/>
              <w:rPr>
                <w:rFonts w:eastAsia="仿宋"/>
                <w:szCs w:val="21"/>
              </w:rPr>
            </w:pPr>
            <w:r>
              <w:rPr>
                <w:rFonts w:eastAsia="仿宋"/>
                <w:szCs w:val="21"/>
              </w:rPr>
              <w:t>5.系统具备较强的灾难恢复能力。</w:t>
            </w:r>
          </w:p>
          <w:p>
            <w:pPr>
              <w:widowControl/>
              <w:jc w:val="left"/>
              <w:rPr>
                <w:rFonts w:eastAsia="仿宋"/>
                <w:szCs w:val="21"/>
              </w:rPr>
            </w:pPr>
            <w:r>
              <w:rPr>
                <w:rFonts w:eastAsia="仿宋"/>
                <w:szCs w:val="21"/>
              </w:rPr>
              <w:t>由评委进行打分。（0-3分）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462" w:type="dxa"/>
            <w:noWrap w:val="0"/>
            <w:vAlign w:val="center"/>
          </w:tcPr>
          <w:p>
            <w:pPr>
              <w:jc w:val="center"/>
              <w:rPr>
                <w:sz w:val="24"/>
              </w:rPr>
            </w:pPr>
            <w:r>
              <w:rPr>
                <w:sz w:val="24"/>
              </w:rPr>
              <w:t>16</w:t>
            </w:r>
          </w:p>
        </w:tc>
        <w:tc>
          <w:tcPr>
            <w:tcW w:w="1494" w:type="dxa"/>
            <w:noWrap w:val="0"/>
            <w:vAlign w:val="center"/>
          </w:tcPr>
          <w:p>
            <w:pPr>
              <w:widowControl/>
              <w:jc w:val="center"/>
              <w:rPr>
                <w:rFonts w:eastAsia="仿宋"/>
                <w:szCs w:val="21"/>
              </w:rPr>
            </w:pPr>
            <w:r>
              <w:rPr>
                <w:rFonts w:eastAsia="仿宋"/>
                <w:szCs w:val="21"/>
              </w:rPr>
              <w:t>信创化要求</w:t>
            </w:r>
          </w:p>
          <w:p>
            <w:pPr>
              <w:widowControl/>
              <w:jc w:val="center"/>
              <w:rPr>
                <w:rFonts w:eastAsia="仿宋"/>
                <w:szCs w:val="21"/>
                <w:highlight w:val="yellow"/>
              </w:rPr>
            </w:pPr>
            <w:r>
              <w:rPr>
                <w:rFonts w:eastAsia="仿宋"/>
                <w:szCs w:val="21"/>
              </w:rPr>
              <w:t>（3分）</w:t>
            </w:r>
          </w:p>
        </w:tc>
        <w:tc>
          <w:tcPr>
            <w:tcW w:w="7080" w:type="dxa"/>
            <w:noWrap w:val="0"/>
            <w:vAlign w:val="top"/>
          </w:tcPr>
          <w:p>
            <w:pPr>
              <w:widowControl/>
              <w:jc w:val="left"/>
              <w:rPr>
                <w:rFonts w:eastAsia="仿宋"/>
                <w:szCs w:val="21"/>
              </w:rPr>
            </w:pPr>
            <w:r>
              <w:rPr>
                <w:rFonts w:eastAsia="仿宋"/>
                <w:szCs w:val="21"/>
              </w:rPr>
              <w:t>1.系统需支持服务器端信创适配，支持主流国产操作系统(如麒麟)、数据库（如达梦）、中间件（如东方通）等。合作期内需支持信创化上线部署。</w:t>
            </w:r>
          </w:p>
          <w:p>
            <w:pPr>
              <w:widowControl/>
              <w:jc w:val="left"/>
              <w:rPr>
                <w:rFonts w:eastAsia="仿宋"/>
                <w:szCs w:val="21"/>
              </w:rPr>
            </w:pPr>
            <w:r>
              <w:rPr>
                <w:rFonts w:eastAsia="仿宋"/>
                <w:szCs w:val="21"/>
              </w:rPr>
              <w:t>2.系统有信创化部署和运营案例。</w:t>
            </w:r>
          </w:p>
          <w:p>
            <w:pPr>
              <w:widowControl/>
              <w:jc w:val="left"/>
              <w:rPr>
                <w:rFonts w:eastAsia="仿宋"/>
                <w:szCs w:val="21"/>
              </w:rPr>
            </w:pPr>
            <w:r>
              <w:rPr>
                <w:rFonts w:eastAsia="仿宋"/>
                <w:szCs w:val="21"/>
              </w:rPr>
              <w:t>由评委进行打分。（0-3分）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62" w:type="dxa"/>
            <w:noWrap w:val="0"/>
            <w:vAlign w:val="center"/>
          </w:tcPr>
          <w:p>
            <w:pPr>
              <w:jc w:val="center"/>
              <w:rPr>
                <w:sz w:val="24"/>
              </w:rPr>
            </w:pPr>
            <w:r>
              <w:rPr>
                <w:sz w:val="24"/>
              </w:rPr>
              <w:t>17</w:t>
            </w:r>
          </w:p>
        </w:tc>
        <w:tc>
          <w:tcPr>
            <w:tcW w:w="1494" w:type="dxa"/>
            <w:noWrap w:val="0"/>
            <w:vAlign w:val="center"/>
          </w:tcPr>
          <w:p>
            <w:pPr>
              <w:widowControl/>
              <w:jc w:val="center"/>
              <w:rPr>
                <w:rFonts w:eastAsia="仿宋"/>
                <w:szCs w:val="21"/>
              </w:rPr>
            </w:pPr>
            <w:r>
              <w:rPr>
                <w:rFonts w:eastAsia="仿宋"/>
                <w:szCs w:val="21"/>
              </w:rPr>
              <w:t>系统演示</w:t>
            </w:r>
          </w:p>
          <w:p>
            <w:pPr>
              <w:widowControl/>
              <w:jc w:val="center"/>
              <w:rPr>
                <w:rFonts w:eastAsia="仿宋"/>
                <w:szCs w:val="21"/>
              </w:rPr>
            </w:pPr>
            <w:r>
              <w:rPr>
                <w:rFonts w:eastAsia="仿宋"/>
                <w:szCs w:val="21"/>
              </w:rPr>
              <w:t>（14分）</w:t>
            </w:r>
          </w:p>
        </w:tc>
        <w:tc>
          <w:tcPr>
            <w:tcW w:w="7080" w:type="dxa"/>
            <w:noWrap w:val="0"/>
            <w:vAlign w:val="top"/>
          </w:tcPr>
          <w:p>
            <w:pPr>
              <w:pStyle w:val="6"/>
              <w:spacing w:line="320" w:lineRule="exact"/>
              <w:rPr>
                <w:rFonts w:hint="eastAsia" w:eastAsia="仿宋"/>
              </w:rPr>
            </w:pPr>
            <w:r>
              <w:rPr>
                <w:rFonts w:eastAsia="仿宋"/>
              </w:rPr>
              <w:t>供应商针对本项目提供以下内容的系统演示(响应投标人自行准备演示环境、设备，以满足现场演示要求，演示时间控制在 30 分钟内)演示内容如下:</w:t>
            </w:r>
          </w:p>
          <w:p>
            <w:pPr>
              <w:pStyle w:val="6"/>
              <w:spacing w:line="320" w:lineRule="exact"/>
              <w:rPr>
                <w:b/>
                <w:bCs/>
              </w:rPr>
            </w:pPr>
            <w:r>
              <w:rPr>
                <w:b/>
                <w:bCs/>
              </w:rPr>
              <w:t>演示点一、门户网站</w:t>
            </w:r>
          </w:p>
          <w:p>
            <w:pPr>
              <w:widowControl/>
              <w:spacing w:line="320" w:lineRule="exact"/>
              <w:rPr>
                <w:rFonts w:eastAsia="仿宋"/>
                <w:szCs w:val="21"/>
              </w:rPr>
            </w:pPr>
            <w:r>
              <w:rPr>
                <w:rFonts w:eastAsia="仿宋"/>
                <w:szCs w:val="21"/>
              </w:rPr>
              <w:t>1</w:t>
            </w:r>
            <w:r>
              <w:rPr>
                <w:rFonts w:hint="eastAsia" w:eastAsia="仿宋"/>
                <w:szCs w:val="21"/>
              </w:rPr>
              <w:t>.</w:t>
            </w:r>
            <w:r>
              <w:rPr>
                <w:rFonts w:eastAsia="仿宋"/>
                <w:szCs w:val="21"/>
              </w:rPr>
              <w:t>门户网站至少演示导航栏、信息发布（含招标采购、非招标采购和自采信息公示）、链接跳转等功能。（0-1分）</w:t>
            </w:r>
          </w:p>
          <w:p>
            <w:pPr>
              <w:pStyle w:val="6"/>
              <w:spacing w:line="320" w:lineRule="exact"/>
              <w:rPr>
                <w:rFonts w:eastAsia="仿宋"/>
              </w:rPr>
            </w:pPr>
            <w:r>
              <w:rPr>
                <w:rFonts w:eastAsia="仿宋"/>
              </w:rPr>
              <w:t>2</w:t>
            </w:r>
            <w:r>
              <w:rPr>
                <w:rFonts w:hint="eastAsia" w:eastAsia="仿宋"/>
              </w:rPr>
              <w:t>.</w:t>
            </w:r>
            <w:r>
              <w:rPr>
                <w:rFonts w:eastAsia="仿宋"/>
              </w:rPr>
              <w:t>驾驶舱需演示综合展示采购活动动态功能，包括采购规模、采购金额、采购内容分布、同比增长、资金节约率。根据领导的关注倾向，在领导驾驶舱中自由配置关注的功能点，方便领导随时、随地掌握采购动态。（0-1分）</w:t>
            </w:r>
          </w:p>
          <w:p>
            <w:pPr>
              <w:pStyle w:val="6"/>
              <w:spacing w:line="320" w:lineRule="exact"/>
              <w:rPr>
                <w:b/>
                <w:bCs/>
              </w:rPr>
            </w:pPr>
            <w:r>
              <w:rPr>
                <w:b/>
                <w:bCs/>
              </w:rPr>
              <w:t>演示点二、招标采购业务平台</w:t>
            </w:r>
          </w:p>
          <w:p>
            <w:pPr>
              <w:pStyle w:val="6"/>
              <w:spacing w:line="320" w:lineRule="exact"/>
              <w:rPr>
                <w:rFonts w:eastAsia="仿宋"/>
              </w:rPr>
            </w:pPr>
            <w:r>
              <w:rPr>
                <w:rFonts w:eastAsia="仿宋"/>
              </w:rPr>
              <w:t>1</w:t>
            </w:r>
            <w:r>
              <w:rPr>
                <w:rFonts w:hint="eastAsia" w:eastAsia="仿宋"/>
              </w:rPr>
              <w:t>.</w:t>
            </w:r>
            <w:r>
              <w:rPr>
                <w:rFonts w:eastAsia="仿宋"/>
              </w:rPr>
              <w:t>采购公告模板化编制：</w:t>
            </w:r>
          </w:p>
          <w:p>
            <w:pPr>
              <w:pStyle w:val="6"/>
              <w:spacing w:line="320" w:lineRule="exact"/>
              <w:rPr>
                <w:rFonts w:eastAsia="仿宋"/>
              </w:rPr>
            </w:pPr>
            <w:r>
              <w:rPr>
                <w:rFonts w:eastAsia="仿宋"/>
              </w:rPr>
              <w:t>需演示能自动获取招标项目信息和标段包信息，在编制公告内容时，能够实现模板化编制，编制时直接按照项目完善填写框。（0-1分）</w:t>
            </w:r>
          </w:p>
          <w:p>
            <w:pPr>
              <w:pStyle w:val="6"/>
              <w:spacing w:line="320" w:lineRule="exact"/>
              <w:rPr>
                <w:rFonts w:eastAsia="仿宋"/>
              </w:rPr>
            </w:pPr>
            <w:r>
              <w:rPr>
                <w:rFonts w:eastAsia="仿宋"/>
              </w:rPr>
              <w:t>2</w:t>
            </w:r>
            <w:r>
              <w:rPr>
                <w:rFonts w:hint="eastAsia" w:eastAsia="仿宋"/>
              </w:rPr>
              <w:t>.</w:t>
            </w:r>
            <w:r>
              <w:rPr>
                <w:rFonts w:eastAsia="仿宋"/>
              </w:rPr>
              <w:t>需演示模拟解密功能：</w:t>
            </w:r>
          </w:p>
          <w:p>
            <w:pPr>
              <w:pStyle w:val="6"/>
              <w:spacing w:line="320" w:lineRule="exact"/>
              <w:rPr>
                <w:rFonts w:eastAsia="仿宋"/>
              </w:rPr>
            </w:pPr>
            <w:r>
              <w:rPr>
                <w:rFonts w:eastAsia="仿宋"/>
              </w:rPr>
              <w:t>投标文件上传平台后支持模拟解密。（0-1分）</w:t>
            </w:r>
          </w:p>
          <w:p>
            <w:pPr>
              <w:pStyle w:val="6"/>
              <w:spacing w:line="320" w:lineRule="exact"/>
              <w:rPr>
                <w:b/>
                <w:bCs/>
              </w:rPr>
            </w:pPr>
            <w:r>
              <w:rPr>
                <w:b/>
                <w:bCs/>
              </w:rPr>
              <w:t>演示点三、电子文件编制</w:t>
            </w:r>
          </w:p>
          <w:p>
            <w:pPr>
              <w:pStyle w:val="6"/>
              <w:spacing w:line="320" w:lineRule="exact"/>
              <w:rPr>
                <w:rFonts w:eastAsia="仿宋"/>
              </w:rPr>
            </w:pPr>
            <w:r>
              <w:rPr>
                <w:rFonts w:eastAsia="仿宋"/>
              </w:rPr>
              <w:t>1</w:t>
            </w:r>
            <w:r>
              <w:rPr>
                <w:rFonts w:hint="eastAsia" w:eastAsia="仿宋"/>
              </w:rPr>
              <w:t>.</w:t>
            </w:r>
            <w:r>
              <w:rPr>
                <w:rFonts w:eastAsia="仿宋"/>
              </w:rPr>
              <w:t>高亮未填项：</w:t>
            </w:r>
          </w:p>
          <w:p>
            <w:pPr>
              <w:pStyle w:val="6"/>
              <w:spacing w:line="320" w:lineRule="exact"/>
              <w:rPr>
                <w:rFonts w:eastAsia="仿宋"/>
              </w:rPr>
            </w:pPr>
            <w:r>
              <w:rPr>
                <w:rFonts w:eastAsia="仿宋"/>
              </w:rPr>
              <w:t>需演示点击高亮未填项按钮，能够直接用醒目颜色显示采购文件未填写的部分（0-1分）</w:t>
            </w:r>
          </w:p>
          <w:p>
            <w:pPr>
              <w:pStyle w:val="6"/>
              <w:spacing w:line="320" w:lineRule="exact"/>
              <w:rPr>
                <w:rFonts w:eastAsia="仿宋"/>
              </w:rPr>
            </w:pPr>
            <w:r>
              <w:rPr>
                <w:rFonts w:eastAsia="仿宋"/>
              </w:rPr>
              <w:t>2</w:t>
            </w:r>
            <w:r>
              <w:rPr>
                <w:rFonts w:hint="eastAsia" w:eastAsia="仿宋"/>
              </w:rPr>
              <w:t>.</w:t>
            </w:r>
            <w:r>
              <w:rPr>
                <w:rFonts w:eastAsia="仿宋"/>
              </w:rPr>
              <w:t>投标文件组成：</w:t>
            </w:r>
          </w:p>
          <w:p>
            <w:pPr>
              <w:pStyle w:val="6"/>
              <w:spacing w:line="320" w:lineRule="exact"/>
              <w:rPr>
                <w:rFonts w:eastAsia="仿宋"/>
              </w:rPr>
            </w:pPr>
            <w:r>
              <w:rPr>
                <w:rFonts w:eastAsia="仿宋"/>
              </w:rPr>
              <w:t>需演示能根据模板提供的投标文件组成内容，结合实际项目需求对投标文件组成内容进行新增、勾选。（0-1分）</w:t>
            </w:r>
          </w:p>
          <w:p>
            <w:pPr>
              <w:pStyle w:val="6"/>
              <w:spacing w:line="320" w:lineRule="exact"/>
              <w:rPr>
                <w:b/>
                <w:bCs/>
              </w:rPr>
            </w:pPr>
            <w:r>
              <w:rPr>
                <w:b/>
                <w:bCs/>
              </w:rPr>
              <w:t>演示点四、不见面开标大厅</w:t>
            </w:r>
          </w:p>
          <w:p>
            <w:pPr>
              <w:pStyle w:val="6"/>
              <w:spacing w:line="320" w:lineRule="exact"/>
              <w:rPr>
                <w:rFonts w:eastAsia="仿宋"/>
              </w:rPr>
            </w:pPr>
            <w:r>
              <w:rPr>
                <w:rFonts w:eastAsia="仿宋"/>
              </w:rPr>
              <w:t>1</w:t>
            </w:r>
            <w:r>
              <w:rPr>
                <w:rFonts w:hint="eastAsia" w:eastAsia="仿宋"/>
              </w:rPr>
              <w:t>.</w:t>
            </w:r>
            <w:r>
              <w:rPr>
                <w:rFonts w:eastAsia="仿宋"/>
              </w:rPr>
              <w:t>主持人端：</w:t>
            </w:r>
          </w:p>
          <w:p>
            <w:pPr>
              <w:pStyle w:val="6"/>
              <w:spacing w:line="320" w:lineRule="exact"/>
              <w:rPr>
                <w:rFonts w:eastAsia="仿宋"/>
              </w:rPr>
            </w:pPr>
            <w:r>
              <w:rPr>
                <w:rFonts w:eastAsia="仿宋"/>
              </w:rPr>
              <w:t>需演示公布投标人功能，支持图标和列表的方式展示投标单位，并能够根据关键字进行搜索。需演示批量导入功能（0-2分）</w:t>
            </w:r>
          </w:p>
          <w:p>
            <w:pPr>
              <w:pStyle w:val="6"/>
              <w:spacing w:line="320" w:lineRule="exact"/>
              <w:rPr>
                <w:rFonts w:eastAsia="仿宋"/>
              </w:rPr>
            </w:pPr>
            <w:r>
              <w:rPr>
                <w:rFonts w:eastAsia="仿宋"/>
              </w:rPr>
              <w:t>2</w:t>
            </w:r>
            <w:r>
              <w:rPr>
                <w:rFonts w:hint="eastAsia" w:eastAsia="仿宋"/>
              </w:rPr>
              <w:t>.</w:t>
            </w:r>
            <w:r>
              <w:rPr>
                <w:rFonts w:eastAsia="仿宋"/>
              </w:rPr>
              <w:t>投标人端：</w:t>
            </w:r>
          </w:p>
          <w:p>
            <w:pPr>
              <w:pStyle w:val="6"/>
              <w:spacing w:line="320" w:lineRule="exact"/>
            </w:pPr>
            <w:r>
              <w:rPr>
                <w:rFonts w:eastAsia="仿宋"/>
              </w:rPr>
              <w:t>需演示投标人签到、查看开标倒计时、查看投标人名单、投标人解密和唱标功能。（0-3分）</w:t>
            </w:r>
          </w:p>
          <w:p>
            <w:pPr>
              <w:pStyle w:val="6"/>
              <w:spacing w:line="320" w:lineRule="exact"/>
              <w:rPr>
                <w:b/>
                <w:bCs/>
              </w:rPr>
            </w:pPr>
            <w:r>
              <w:rPr>
                <w:b/>
                <w:bCs/>
              </w:rPr>
              <w:t>演示点五、电子商城</w:t>
            </w:r>
          </w:p>
          <w:p>
            <w:pPr>
              <w:pStyle w:val="6"/>
              <w:spacing w:line="320" w:lineRule="exact"/>
              <w:rPr>
                <w:rFonts w:eastAsia="仿宋"/>
              </w:rPr>
            </w:pPr>
            <w:r>
              <w:rPr>
                <w:rFonts w:eastAsia="仿宋"/>
              </w:rPr>
              <w:t>1</w:t>
            </w:r>
            <w:r>
              <w:rPr>
                <w:rFonts w:hint="eastAsia" w:eastAsia="仿宋"/>
              </w:rPr>
              <w:t>.</w:t>
            </w:r>
            <w:r>
              <w:rPr>
                <w:rFonts w:eastAsia="仿宋"/>
              </w:rPr>
              <w:t>网上商城网站功能：</w:t>
            </w:r>
          </w:p>
          <w:p>
            <w:pPr>
              <w:pStyle w:val="6"/>
              <w:spacing w:line="320" w:lineRule="exact"/>
              <w:rPr>
                <w:rFonts w:eastAsia="仿宋"/>
              </w:rPr>
            </w:pPr>
            <w:r>
              <w:rPr>
                <w:rFonts w:eastAsia="仿宋"/>
              </w:rPr>
              <w:t>需演示演示商城首页、商品详情页、商品目录功能。（0-1分）</w:t>
            </w:r>
          </w:p>
          <w:p>
            <w:pPr>
              <w:pStyle w:val="6"/>
              <w:spacing w:line="320" w:lineRule="exact"/>
              <w:rPr>
                <w:rFonts w:eastAsia="仿宋"/>
              </w:rPr>
            </w:pPr>
            <w:r>
              <w:rPr>
                <w:rFonts w:eastAsia="仿宋"/>
              </w:rPr>
              <w:t>2</w:t>
            </w:r>
            <w:r>
              <w:rPr>
                <w:rFonts w:hint="eastAsia" w:eastAsia="仿宋"/>
              </w:rPr>
              <w:t>.</w:t>
            </w:r>
            <w:r>
              <w:rPr>
                <w:rFonts w:eastAsia="仿宋"/>
              </w:rPr>
              <w:t>采购人系统：</w:t>
            </w:r>
          </w:p>
          <w:p>
            <w:pPr>
              <w:pStyle w:val="6"/>
              <w:spacing w:line="320" w:lineRule="exact"/>
              <w:rPr>
                <w:rFonts w:eastAsia="仿宋"/>
              </w:rPr>
            </w:pPr>
            <w:r>
              <w:rPr>
                <w:rFonts w:eastAsia="仿宋"/>
              </w:rPr>
              <w:t>需演示采购计划申报、商品选购、订单管理、（0-1分）</w:t>
            </w:r>
          </w:p>
          <w:p>
            <w:pPr>
              <w:pStyle w:val="6"/>
              <w:spacing w:line="320" w:lineRule="exact"/>
              <w:rPr>
                <w:rFonts w:eastAsia="仿宋"/>
              </w:rPr>
            </w:pPr>
            <w:r>
              <w:rPr>
                <w:rFonts w:eastAsia="仿宋"/>
              </w:rPr>
              <w:t>3</w:t>
            </w:r>
            <w:r>
              <w:rPr>
                <w:rFonts w:hint="eastAsia" w:eastAsia="仿宋"/>
              </w:rPr>
              <w:t>.</w:t>
            </w:r>
            <w:r>
              <w:rPr>
                <w:rFonts w:eastAsia="仿宋"/>
              </w:rPr>
              <w:t>供应商系统：</w:t>
            </w:r>
          </w:p>
          <w:p>
            <w:pPr>
              <w:pStyle w:val="6"/>
              <w:spacing w:line="320" w:lineRule="exact"/>
              <w:rPr>
                <w:rFonts w:hint="eastAsia" w:eastAsia="仿宋"/>
              </w:rPr>
            </w:pPr>
            <w:r>
              <w:rPr>
                <w:rFonts w:eastAsia="仿宋"/>
              </w:rPr>
              <w:t>需演示注册登录、商品维护、网上竞价功能。（0-1分）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036" w:type="dxa"/>
            <w:gridSpan w:val="3"/>
            <w:noWrap w:val="0"/>
            <w:vAlign w:val="center"/>
          </w:tcPr>
          <w:p>
            <w:pPr>
              <w:jc w:val="center"/>
              <w:rPr>
                <w:rFonts w:hint="eastAsia" w:eastAsia="仿宋"/>
                <w:szCs w:val="21"/>
              </w:rPr>
            </w:pPr>
            <w:r>
              <w:rPr>
                <w:rFonts w:hint="eastAsia"/>
                <w:b/>
                <w:sz w:val="24"/>
              </w:rPr>
              <w:t>三、</w:t>
            </w:r>
            <w:r>
              <w:rPr>
                <w:b/>
                <w:sz w:val="24"/>
              </w:rPr>
              <w:t>报价分值为20分，权重为20%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62" w:type="dxa"/>
            <w:noWrap w:val="0"/>
            <w:vAlign w:val="center"/>
          </w:tcPr>
          <w:p>
            <w:pPr>
              <w:jc w:val="center"/>
              <w:rPr>
                <w:sz w:val="24"/>
              </w:rPr>
            </w:pPr>
            <w:r>
              <w:rPr>
                <w:sz w:val="24"/>
              </w:rPr>
              <w:t>1</w:t>
            </w:r>
          </w:p>
        </w:tc>
        <w:tc>
          <w:tcPr>
            <w:tcW w:w="1494" w:type="dxa"/>
            <w:noWrap w:val="0"/>
            <w:vAlign w:val="center"/>
          </w:tcPr>
          <w:p>
            <w:pPr>
              <w:kinsoku w:val="0"/>
              <w:overflowPunct w:val="0"/>
              <w:autoSpaceDE w:val="0"/>
              <w:autoSpaceDN w:val="0"/>
              <w:adjustRightInd w:val="0"/>
              <w:snapToGrid w:val="0"/>
              <w:spacing w:line="320" w:lineRule="exact"/>
              <w:jc w:val="left"/>
              <w:rPr>
                <w:sz w:val="24"/>
              </w:rPr>
            </w:pPr>
            <w:r>
              <w:rPr>
                <w:rFonts w:eastAsia="仿宋"/>
                <w:szCs w:val="21"/>
              </w:rPr>
              <w:t>报价（20分）</w:t>
            </w:r>
          </w:p>
        </w:tc>
        <w:tc>
          <w:tcPr>
            <w:tcW w:w="7080" w:type="dxa"/>
            <w:noWrap w:val="0"/>
            <w:vAlign w:val="center"/>
          </w:tcPr>
          <w:p>
            <w:pPr>
              <w:spacing w:line="320" w:lineRule="exact"/>
              <w:ind w:firstLine="210" w:firstLineChars="100"/>
              <w:rPr>
                <w:rFonts w:eastAsia="仿宋"/>
                <w:szCs w:val="21"/>
              </w:rPr>
            </w:pPr>
            <w:r>
              <w:rPr>
                <w:rFonts w:eastAsia="仿宋"/>
                <w:szCs w:val="21"/>
              </w:rPr>
              <w:t>投标报价大于最高限价的，作无效标处理。</w:t>
            </w:r>
          </w:p>
          <w:p>
            <w:pPr>
              <w:spacing w:line="320" w:lineRule="exact"/>
              <w:ind w:firstLine="210" w:firstLineChars="100"/>
              <w:rPr>
                <w:rFonts w:eastAsia="仿宋"/>
                <w:szCs w:val="21"/>
              </w:rPr>
            </w:pPr>
            <w:r>
              <w:rPr>
                <w:rFonts w:eastAsia="仿宋"/>
                <w:szCs w:val="21"/>
              </w:rPr>
              <w:t>评标委员会按以上要求进行所有评审后，在有效投标报价中去除无效标后，剩余为最终有效投标报价。以最终有效投标报价的平均值作为评标基准价，当有效投标单位大于5家（含）时平均报价的计算方法为所有有效投标报价去掉最高和最低价后的算术平均值，当有效投标单位少于5家时，平均价的计算方法为所有有效投标报价的算术平均值。各有效投标与评标基准价进行比较，按以下公式求出百分比K值（保留小数点后两位，三位四舍五入）：</w:t>
            </w:r>
          </w:p>
          <w:p>
            <w:pPr>
              <w:spacing w:line="320" w:lineRule="exact"/>
              <w:ind w:firstLine="210" w:firstLineChars="100"/>
              <w:rPr>
                <w:rFonts w:eastAsia="仿宋"/>
                <w:szCs w:val="21"/>
              </w:rPr>
            </w:pPr>
            <w:r>
              <w:rPr>
                <w:rFonts w:eastAsia="仿宋"/>
                <w:szCs w:val="21"/>
              </w:rPr>
              <w:t>K=（有效投标报价—评标基准价）/评标基准价*100%</w:t>
            </w:r>
          </w:p>
          <w:p>
            <w:pPr>
              <w:spacing w:line="320" w:lineRule="exact"/>
              <w:ind w:firstLine="210" w:firstLineChars="100"/>
              <w:rPr>
                <w:rFonts w:eastAsia="仿宋"/>
                <w:szCs w:val="21"/>
              </w:rPr>
            </w:pPr>
            <w:r>
              <w:rPr>
                <w:rFonts w:eastAsia="仿宋"/>
                <w:szCs w:val="21"/>
              </w:rPr>
              <w:t>当K值等于零时，得满分20分；</w:t>
            </w:r>
          </w:p>
          <w:p>
            <w:pPr>
              <w:spacing w:line="320" w:lineRule="exact"/>
              <w:ind w:firstLine="210" w:firstLineChars="100"/>
              <w:rPr>
                <w:rFonts w:eastAsia="仿宋"/>
                <w:szCs w:val="21"/>
              </w:rPr>
            </w:pPr>
            <w:r>
              <w:rPr>
                <w:rFonts w:eastAsia="仿宋"/>
                <w:szCs w:val="21"/>
              </w:rPr>
              <w:t>当K值大于零时，K值每增1%，在总分上扣0.3分；</w:t>
            </w:r>
          </w:p>
          <w:p>
            <w:pPr>
              <w:spacing w:line="320" w:lineRule="exact"/>
              <w:ind w:firstLine="210" w:firstLineChars="100"/>
              <w:rPr>
                <w:rFonts w:eastAsia="仿宋"/>
                <w:szCs w:val="21"/>
              </w:rPr>
            </w:pPr>
            <w:r>
              <w:rPr>
                <w:rFonts w:eastAsia="仿宋"/>
                <w:szCs w:val="21"/>
              </w:rPr>
              <w:t>当K值小于零时，K值每减1%，在总分上扣0.2分。</w:t>
            </w:r>
          </w:p>
          <w:p>
            <w:pPr>
              <w:spacing w:line="320" w:lineRule="exact"/>
              <w:ind w:firstLine="210" w:firstLineChars="100"/>
              <w:rPr>
                <w:rFonts w:eastAsia="仿宋"/>
                <w:szCs w:val="21"/>
              </w:rPr>
            </w:pPr>
            <w:r>
              <w:rPr>
                <w:rFonts w:eastAsia="仿宋"/>
                <w:szCs w:val="21"/>
              </w:rPr>
              <w:t>扣完为止。</w:t>
            </w:r>
          </w:p>
        </w:tc>
      </w:tr>
    </w:tbl>
    <w:p>
      <w:pPr>
        <w:wordWrap w:val="0"/>
        <w:topLinePunct/>
        <w:spacing w:line="360" w:lineRule="auto"/>
        <w:rPr>
          <w:rFonts w:hint="eastAsia" w:ascii="宋体" w:hAnsi="宋体" w:cs="宋体"/>
          <w:b/>
          <w:szCs w:val="21"/>
        </w:rPr>
      </w:pPr>
      <w:r>
        <w:rPr>
          <w:rFonts w:hint="eastAsia" w:ascii="宋体" w:hAnsi="宋体" w:cs="宋体"/>
          <w:b/>
          <w:szCs w:val="21"/>
        </w:rPr>
        <w:t>注：1.以上证书、证明材料均须加盖单位公章，未提供不得分。</w:t>
      </w:r>
    </w:p>
    <w:p>
      <w:pPr>
        <w:wordWrap w:val="0"/>
        <w:topLinePunct/>
        <w:spacing w:line="360" w:lineRule="auto"/>
        <w:ind w:firstLine="422" w:firstLineChars="200"/>
        <w:rPr>
          <w:rFonts w:ascii="宋体" w:hAnsi="宋体" w:cs="宋体"/>
          <w:b/>
          <w:szCs w:val="21"/>
        </w:rPr>
      </w:pPr>
      <w:r>
        <w:rPr>
          <w:rFonts w:hint="eastAsia" w:hAnsi="宋体" w:cs="宋体"/>
          <w:b/>
          <w:szCs w:val="21"/>
        </w:rPr>
        <w:t>2.专家评分时保留一位小数，</w:t>
      </w:r>
      <w:r>
        <w:rPr>
          <w:rFonts w:hint="eastAsia" w:ascii="宋体" w:hAnsi="宋体" w:cs="宋体"/>
          <w:b/>
          <w:szCs w:val="21"/>
        </w:rPr>
        <w:t>计算评分值时采用四舍五入法，并保留两位小数。</w:t>
      </w:r>
      <w:bookmarkEnd w:id="0"/>
      <w:bookmarkEnd w:id="1"/>
      <w:bookmarkEnd w:id="2"/>
    </w:p>
    <w:p>
      <w:pPr>
        <w:wordWrap w:val="0"/>
        <w:topLinePunct/>
        <w:spacing w:line="360" w:lineRule="auto"/>
        <w:ind w:firstLine="422" w:firstLineChars="200"/>
        <w:rPr>
          <w:rFonts w:hint="eastAsia" w:ascii="宋体" w:hAnsi="宋体" w:cs="宋体"/>
          <w:b/>
          <w:szCs w:val="21"/>
        </w:rPr>
      </w:pPr>
      <w:r>
        <w:rPr>
          <w:rFonts w:hint="eastAsia" w:ascii="宋体" w:hAnsi="宋体" w:cs="宋体"/>
          <w:b/>
          <w:szCs w:val="21"/>
        </w:rPr>
        <w:t>3.投标人参与投标的</w:t>
      </w:r>
      <w:r>
        <w:rPr>
          <w:rFonts w:ascii="宋体" w:hAnsi="宋体" w:cs="宋体"/>
          <w:b/>
          <w:szCs w:val="21"/>
        </w:rPr>
        <w:t>授权代表应当是投标人的在职职工，并携带身份证、法人代表授权委托书等有效证明出席。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E635A"/>
    <w:multiLevelType w:val="multilevel"/>
    <w:tmpl w:val="7A9E635A"/>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93E66"/>
    <w:rsid w:val="13C93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
    <w:name w:val="普通(网站)1"/>
    <w:basedOn w:val="1"/>
    <w:qFormat/>
    <w:uiPriority w:val="0"/>
    <w:pPr>
      <w:widowControl/>
      <w:spacing w:before="100" w:beforeAutospacing="1" w:after="100" w:afterAutospacing="1"/>
      <w:jc w:val="left"/>
    </w:pPr>
    <w:rPr>
      <w:rFonts w:ascii="宋体" w:hAnsi="宋体"/>
      <w:kern w:val="0"/>
      <w:szCs w:val="20"/>
    </w:rPr>
  </w:style>
  <w:style w:type="paragraph" w:customStyle="1" w:styleId="6">
    <w:name w:val="表格-内容"/>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2024-04-18T12:36:00Z</dcterms:created>
  <dc:creator>LJW</dc:creator>
  <cp:lastModifiedBy>LJW</cp:lastModifiedBy>
  <dcterms:modified xsi:type="dcterms:W3CDTF">2024-04-18T12:37:01Z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